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A0" w:rsidRDefault="00F86CA0" w:rsidP="000B37FD">
      <w:pPr>
        <w:rPr>
          <w:rFonts w:ascii="Verdana" w:hAnsi="Verdana"/>
          <w:b/>
          <w:bCs/>
          <w:sz w:val="24"/>
          <w:szCs w:val="24"/>
          <w:u w:val="single"/>
        </w:rPr>
      </w:pPr>
    </w:p>
    <w:p w:rsidR="000B37FD" w:rsidRPr="00353E5D" w:rsidRDefault="000B37FD" w:rsidP="000B37FD">
      <w:pPr>
        <w:rPr>
          <w:rFonts w:ascii="Verdana" w:hAnsi="Verdana"/>
          <w:sz w:val="24"/>
          <w:szCs w:val="24"/>
          <w:u w:val="single"/>
        </w:rPr>
      </w:pPr>
      <w:r w:rsidRPr="00353E5D">
        <w:rPr>
          <w:rFonts w:ascii="Verdana" w:hAnsi="Verdana"/>
          <w:b/>
          <w:bCs/>
          <w:sz w:val="24"/>
          <w:szCs w:val="24"/>
          <w:u w:val="single"/>
        </w:rPr>
        <w:t>ELIGIBILITY</w:t>
      </w:r>
    </w:p>
    <w:p w:rsidR="000B37FD" w:rsidRDefault="000B37FD" w:rsidP="000B37FD">
      <w:pPr>
        <w:rPr>
          <w:sz w:val="24"/>
          <w:szCs w:val="24"/>
        </w:rPr>
      </w:pPr>
    </w:p>
    <w:p w:rsidR="000B37FD" w:rsidRDefault="000B37FD" w:rsidP="000B37FD">
      <w:pPr>
        <w:rPr>
          <w:sz w:val="24"/>
          <w:szCs w:val="24"/>
        </w:rPr>
      </w:pPr>
      <w:r>
        <w:rPr>
          <w:sz w:val="24"/>
          <w:szCs w:val="24"/>
        </w:rPr>
        <w:t>Eligibility factors include county residence, household composition, income, and resources.  A person(s) eligible for Medicaid or patient(s) and inmate(s) of state or federal hospitals or institutions are disqualified household member(s).  A CIHCP household consists of all persons living together who are legally responsible for support (spouses, parents and minor children).</w:t>
      </w:r>
    </w:p>
    <w:p w:rsidR="000B37FD" w:rsidRDefault="000B37FD" w:rsidP="000B37FD">
      <w:pPr>
        <w:rPr>
          <w:sz w:val="24"/>
          <w:szCs w:val="24"/>
        </w:rPr>
      </w:pPr>
    </w:p>
    <w:p w:rsidR="000B37FD" w:rsidRDefault="000B37FD" w:rsidP="000B37FD">
      <w:pPr>
        <w:rPr>
          <w:sz w:val="24"/>
          <w:szCs w:val="24"/>
        </w:rPr>
      </w:pPr>
      <w:r>
        <w:rPr>
          <w:sz w:val="24"/>
          <w:szCs w:val="24"/>
        </w:rPr>
        <w:t>The income and resources criteria for a CIHCP household are based on those used in the Temporary Assistance to Needy Families (TANF) program.  The income generally does not exceed approximately 21% of the Federal Poverty Income Limits (FPIL) and countable resources cannot exceed $3,000 if a relative who is aged or disabled lives with the CIHCP household, or $2,000 for all other households.  Homesteads are exempt.  Fair market value of $4,650 of each vehicle is exempt.</w:t>
      </w:r>
    </w:p>
    <w:p w:rsidR="000B1DA1" w:rsidRDefault="000B1DA1" w:rsidP="000B37FD"/>
    <w:p w:rsidR="000B37FD" w:rsidRDefault="000B37FD" w:rsidP="000B37FD">
      <w:pPr>
        <w:rPr>
          <w:b/>
          <w:sz w:val="24"/>
          <w:szCs w:val="24"/>
          <w:u w:val="single"/>
        </w:rPr>
      </w:pPr>
    </w:p>
    <w:p w:rsidR="00371753" w:rsidRDefault="00371753" w:rsidP="000B37FD">
      <w:pPr>
        <w:rPr>
          <w:b/>
          <w:sz w:val="24"/>
          <w:szCs w:val="24"/>
          <w:u w:val="single"/>
        </w:rPr>
      </w:pPr>
    </w:p>
    <w:p w:rsidR="00371753" w:rsidRPr="000B37FD" w:rsidRDefault="00371753" w:rsidP="000B37FD">
      <w:pPr>
        <w:rPr>
          <w:b/>
          <w:sz w:val="24"/>
          <w:szCs w:val="24"/>
          <w:u w:val="single"/>
        </w:rPr>
      </w:pPr>
    </w:p>
    <w:p w:rsidR="000B37FD" w:rsidRPr="00353E5D" w:rsidRDefault="000B37FD" w:rsidP="000B37FD">
      <w:pPr>
        <w:rPr>
          <w:rFonts w:ascii="Verdana" w:hAnsi="Verdana"/>
          <w:b/>
          <w:sz w:val="24"/>
          <w:szCs w:val="24"/>
          <w:u w:val="single"/>
        </w:rPr>
      </w:pPr>
      <w:r w:rsidRPr="00353E5D">
        <w:rPr>
          <w:rFonts w:ascii="Verdana" w:hAnsi="Verdana"/>
          <w:b/>
          <w:sz w:val="24"/>
          <w:szCs w:val="24"/>
          <w:u w:val="single"/>
        </w:rPr>
        <w:t>BASIC HEALTH CARE SERVICES</w:t>
      </w:r>
    </w:p>
    <w:p w:rsidR="000B37FD" w:rsidRDefault="000B37FD" w:rsidP="000B37FD"/>
    <w:p w:rsidR="000B37FD" w:rsidRPr="000B37FD" w:rsidRDefault="000B37FD" w:rsidP="000B37FD">
      <w:pPr>
        <w:rPr>
          <w:sz w:val="24"/>
          <w:szCs w:val="24"/>
        </w:rPr>
      </w:pPr>
      <w:r w:rsidRPr="00353E5D">
        <w:rPr>
          <w:b/>
          <w:sz w:val="22"/>
          <w:szCs w:val="22"/>
          <w:u w:val="single"/>
        </w:rPr>
        <w:t>PHYSICIAN SERVICES:</w:t>
      </w:r>
      <w:r w:rsidRPr="000B37FD">
        <w:rPr>
          <w:sz w:val="24"/>
          <w:szCs w:val="24"/>
        </w:rPr>
        <w:t xml:space="preserve">  Include services ordered by a physician that are within the scope of practice of their profession as defined by state law.</w:t>
      </w:r>
    </w:p>
    <w:p w:rsidR="000B37FD" w:rsidRDefault="000B37FD" w:rsidP="000B37FD">
      <w:pPr>
        <w:rPr>
          <w:sz w:val="24"/>
          <w:szCs w:val="24"/>
        </w:rPr>
      </w:pPr>
      <w:r w:rsidRPr="00353E5D">
        <w:rPr>
          <w:b/>
          <w:sz w:val="22"/>
          <w:szCs w:val="22"/>
          <w:u w:val="single"/>
        </w:rPr>
        <w:t>ANNUAL PHYSICAL EXAMINATIONS:</w:t>
      </w:r>
      <w:r w:rsidRPr="000B37FD">
        <w:rPr>
          <w:sz w:val="24"/>
          <w:szCs w:val="24"/>
        </w:rPr>
        <w:t xml:space="preserve">  Include examinations provided once per calendar year by a physician or a physician assistant.  Associated testing, such as mammograms, can be covered with a physician referral.</w:t>
      </w:r>
    </w:p>
    <w:p w:rsidR="00371753" w:rsidRDefault="00371753" w:rsidP="000B37FD">
      <w:pPr>
        <w:rPr>
          <w:sz w:val="24"/>
          <w:szCs w:val="24"/>
        </w:rPr>
      </w:pPr>
      <w:r w:rsidRPr="00353E5D">
        <w:rPr>
          <w:b/>
          <w:sz w:val="22"/>
          <w:szCs w:val="22"/>
          <w:u w:val="single"/>
        </w:rPr>
        <w:t>IMMUNIZATIONS:</w:t>
      </w:r>
      <w:r>
        <w:rPr>
          <w:sz w:val="24"/>
          <w:szCs w:val="24"/>
        </w:rPr>
        <w:t xml:space="preserve">  Given when appropriate.</w:t>
      </w:r>
    </w:p>
    <w:p w:rsidR="00A227B5" w:rsidRDefault="00A227B5" w:rsidP="000B37FD">
      <w:pPr>
        <w:rPr>
          <w:b/>
          <w:sz w:val="22"/>
          <w:szCs w:val="22"/>
          <w:u w:val="single"/>
        </w:rPr>
      </w:pPr>
    </w:p>
    <w:p w:rsidR="00A227B5" w:rsidRDefault="00A227B5" w:rsidP="000B37FD">
      <w:pPr>
        <w:rPr>
          <w:b/>
          <w:sz w:val="22"/>
          <w:szCs w:val="22"/>
          <w:u w:val="single"/>
        </w:rPr>
      </w:pPr>
    </w:p>
    <w:p w:rsidR="00371753" w:rsidRDefault="00371753" w:rsidP="000B37FD">
      <w:pPr>
        <w:rPr>
          <w:sz w:val="24"/>
          <w:szCs w:val="24"/>
        </w:rPr>
      </w:pPr>
      <w:r w:rsidRPr="00353E5D">
        <w:rPr>
          <w:b/>
          <w:sz w:val="22"/>
          <w:szCs w:val="22"/>
          <w:u w:val="single"/>
        </w:rPr>
        <w:t>MEDICAL SCREENINGS:</w:t>
      </w:r>
      <w:r>
        <w:rPr>
          <w:sz w:val="24"/>
          <w:szCs w:val="24"/>
        </w:rPr>
        <w:t xml:space="preserve">  Screenings include blood pressure, blood sugar and cholesterol.</w:t>
      </w:r>
    </w:p>
    <w:p w:rsidR="00371753" w:rsidRDefault="00371753" w:rsidP="000B37FD">
      <w:pPr>
        <w:rPr>
          <w:sz w:val="24"/>
          <w:szCs w:val="24"/>
        </w:rPr>
      </w:pPr>
      <w:r w:rsidRPr="00353E5D">
        <w:rPr>
          <w:b/>
          <w:sz w:val="22"/>
          <w:szCs w:val="22"/>
          <w:u w:val="single"/>
        </w:rPr>
        <w:t>LABORATORY AND X-RAY SERVICES:</w:t>
      </w:r>
      <w:r>
        <w:rPr>
          <w:sz w:val="24"/>
          <w:szCs w:val="24"/>
        </w:rPr>
        <w:t xml:space="preserve">  Professional technical services ordered and provided under the personal supervision of a physician in a setting other than a hospital (inpatient or outpatient).</w:t>
      </w:r>
    </w:p>
    <w:p w:rsidR="00371753" w:rsidRDefault="00371753" w:rsidP="000B37FD">
      <w:pPr>
        <w:rPr>
          <w:sz w:val="24"/>
          <w:szCs w:val="24"/>
        </w:rPr>
      </w:pPr>
      <w:r w:rsidRPr="00353E5D">
        <w:rPr>
          <w:b/>
          <w:sz w:val="22"/>
          <w:szCs w:val="22"/>
          <w:u w:val="single"/>
        </w:rPr>
        <w:t>PRESCRIPTIONS:</w:t>
      </w:r>
      <w:r>
        <w:rPr>
          <w:sz w:val="24"/>
          <w:szCs w:val="24"/>
        </w:rPr>
        <w:t xml:space="preserve">  3 prescriptions per month provide.  Clients are required to register with Bastrop “County/Seton Patient Prescription Assistance Program (Seton PPAP) for additional medications needed.</w:t>
      </w:r>
    </w:p>
    <w:p w:rsidR="00371753" w:rsidRDefault="00371753" w:rsidP="000B37FD">
      <w:pPr>
        <w:rPr>
          <w:sz w:val="24"/>
          <w:szCs w:val="24"/>
        </w:rPr>
      </w:pPr>
      <w:r w:rsidRPr="00353E5D">
        <w:rPr>
          <w:b/>
          <w:sz w:val="22"/>
          <w:szCs w:val="22"/>
          <w:u w:val="single"/>
        </w:rPr>
        <w:t>SKILLED NURSING FACILITY</w:t>
      </w:r>
      <w:r w:rsidRPr="00371753">
        <w:rPr>
          <w:sz w:val="24"/>
          <w:szCs w:val="24"/>
          <w:u w:val="single"/>
        </w:rPr>
        <w:t>:</w:t>
      </w:r>
      <w:r>
        <w:rPr>
          <w:sz w:val="24"/>
          <w:szCs w:val="24"/>
        </w:rPr>
        <w:t xml:space="preserve">  Services limit of 30 days or $30,000.00 per fiscal year, whichever comes first.</w:t>
      </w: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Pr="00353E5D" w:rsidRDefault="00371753" w:rsidP="00371753">
      <w:pPr>
        <w:ind w:left="360" w:hanging="360"/>
        <w:rPr>
          <w:rFonts w:ascii="Verdana" w:hAnsi="Verdana"/>
          <w:b/>
          <w:bCs/>
          <w:sz w:val="24"/>
          <w:szCs w:val="24"/>
          <w:u w:val="single"/>
        </w:rPr>
      </w:pPr>
      <w:r w:rsidRPr="00353E5D">
        <w:rPr>
          <w:rFonts w:ascii="Verdana" w:hAnsi="Verdana"/>
          <w:b/>
          <w:bCs/>
          <w:sz w:val="24"/>
          <w:szCs w:val="24"/>
          <w:u w:val="single"/>
        </w:rPr>
        <w:t>OPTIONAL SERVICES</w:t>
      </w:r>
    </w:p>
    <w:p w:rsidR="000842AC" w:rsidRDefault="000842AC" w:rsidP="00371753">
      <w:pPr>
        <w:ind w:left="360" w:hanging="360"/>
        <w:rPr>
          <w:b/>
          <w:bCs/>
          <w:sz w:val="24"/>
          <w:szCs w:val="24"/>
          <w:u w:val="single"/>
        </w:rPr>
      </w:pPr>
    </w:p>
    <w:p w:rsidR="00371753" w:rsidRPr="00E50700" w:rsidRDefault="000842AC" w:rsidP="00371753">
      <w:pPr>
        <w:ind w:left="360" w:hanging="360"/>
        <w:rPr>
          <w:bCs/>
          <w:sz w:val="24"/>
          <w:szCs w:val="24"/>
        </w:rPr>
      </w:pPr>
      <w:r>
        <w:rPr>
          <w:b/>
          <w:bCs/>
          <w:sz w:val="24"/>
          <w:szCs w:val="24"/>
          <w:u w:val="single"/>
        </w:rPr>
        <w:t>EYE CARE</w:t>
      </w:r>
      <w:r w:rsidR="00371753" w:rsidRPr="00E50700">
        <w:rPr>
          <w:b/>
          <w:bCs/>
          <w:sz w:val="24"/>
          <w:szCs w:val="24"/>
          <w:u w:val="single"/>
        </w:rPr>
        <w:t>:</w:t>
      </w:r>
      <w:r w:rsidR="00371753">
        <w:rPr>
          <w:b/>
          <w:bCs/>
          <w:sz w:val="24"/>
          <w:szCs w:val="24"/>
        </w:rPr>
        <w:t xml:space="preserve"> </w:t>
      </w:r>
      <w:r w:rsidR="00371753">
        <w:rPr>
          <w:bCs/>
          <w:sz w:val="24"/>
          <w:szCs w:val="24"/>
        </w:rPr>
        <w:t>One free eye exam and one free pair of glasses.</w:t>
      </w:r>
    </w:p>
    <w:p w:rsidR="00371753" w:rsidRPr="00E50700" w:rsidRDefault="000842AC" w:rsidP="00371753">
      <w:pPr>
        <w:ind w:left="360" w:hanging="360"/>
        <w:rPr>
          <w:b/>
          <w:bCs/>
          <w:sz w:val="24"/>
          <w:szCs w:val="24"/>
          <w:u w:val="single"/>
        </w:rPr>
      </w:pPr>
      <w:r>
        <w:rPr>
          <w:b/>
          <w:bCs/>
          <w:sz w:val="24"/>
          <w:szCs w:val="24"/>
          <w:u w:val="single"/>
        </w:rPr>
        <w:t>DENTAL CARE</w:t>
      </w:r>
      <w:r w:rsidR="00371753" w:rsidRPr="00E50700">
        <w:rPr>
          <w:b/>
          <w:bCs/>
          <w:sz w:val="24"/>
          <w:szCs w:val="24"/>
          <w:u w:val="single"/>
        </w:rPr>
        <w:t>:</w:t>
      </w:r>
    </w:p>
    <w:p w:rsidR="00371753" w:rsidRPr="00E50700" w:rsidRDefault="00371753" w:rsidP="00371753">
      <w:pPr>
        <w:ind w:left="360" w:hanging="360"/>
        <w:rPr>
          <w:bCs/>
          <w:sz w:val="24"/>
          <w:szCs w:val="24"/>
        </w:rPr>
      </w:pPr>
      <w:r>
        <w:rPr>
          <w:b/>
          <w:bCs/>
          <w:sz w:val="24"/>
          <w:szCs w:val="24"/>
        </w:rPr>
        <w:tab/>
        <w:t xml:space="preserve">Emergency Only: </w:t>
      </w:r>
      <w:r>
        <w:rPr>
          <w:bCs/>
          <w:sz w:val="24"/>
          <w:szCs w:val="24"/>
        </w:rPr>
        <w:t>Includes emergency extractions and/or fillings, only.</w:t>
      </w:r>
    </w:p>
    <w:p w:rsidR="00371753" w:rsidRDefault="00371753" w:rsidP="000B37FD">
      <w:pPr>
        <w:rPr>
          <w:sz w:val="24"/>
          <w:szCs w:val="24"/>
        </w:rPr>
      </w:pPr>
    </w:p>
    <w:p w:rsidR="00371753" w:rsidRDefault="00371753" w:rsidP="00371753">
      <w:pPr>
        <w:rPr>
          <w:b/>
          <w:bCs/>
          <w:sz w:val="24"/>
          <w:szCs w:val="24"/>
        </w:rPr>
      </w:pPr>
      <w:r>
        <w:rPr>
          <w:sz w:val="24"/>
          <w:szCs w:val="24"/>
        </w:rPr>
        <w:t>Service definitions, limitations, and payments are based on those used in the Texas Medicaid Program.  County liability for payment is limited to the Texas Department of State Health Services (TDSHS) payment standards established for the CIHCP.  In a state fiscal year (September 1 - August 31), county liability per each eligible resident is limited to $30,000 for all services or 30 days of inpatient hospital and/or SNF care, whichever comes first.</w:t>
      </w:r>
    </w:p>
    <w:p w:rsidR="00371753" w:rsidRDefault="00371753" w:rsidP="00371753">
      <w:pPr>
        <w:rPr>
          <w:b/>
          <w:bCs/>
          <w:sz w:val="24"/>
          <w:szCs w:val="24"/>
        </w:rPr>
      </w:pPr>
    </w:p>
    <w:p w:rsidR="00C638B2" w:rsidRDefault="00C638B2" w:rsidP="00371753">
      <w:pPr>
        <w:rPr>
          <w:rStyle w:val="Strong"/>
          <w:rFonts w:ascii="Verdana" w:hAnsi="Verdana"/>
          <w:color w:val="1B1B1B"/>
          <w:sz w:val="24"/>
          <w:szCs w:val="24"/>
          <w:u w:val="single"/>
          <w:shd w:val="clear" w:color="auto" w:fill="FFFFFF"/>
        </w:rPr>
      </w:pPr>
    </w:p>
    <w:p w:rsidR="00F86CA0" w:rsidRPr="007A7510" w:rsidRDefault="00F86CA0" w:rsidP="00F86CA0">
      <w:pPr>
        <w:jc w:val="center"/>
        <w:rPr>
          <w:b/>
          <w:sz w:val="28"/>
          <w:szCs w:val="28"/>
          <w:u w:val="single"/>
        </w:rPr>
      </w:pPr>
      <w:r w:rsidRPr="007A7510">
        <w:rPr>
          <w:b/>
          <w:sz w:val="28"/>
          <w:szCs w:val="28"/>
          <w:u w:val="single"/>
        </w:rPr>
        <w:t>Bastrop County</w:t>
      </w:r>
    </w:p>
    <w:p w:rsidR="00F86CA0" w:rsidRDefault="00F86CA0" w:rsidP="00F86CA0">
      <w:pPr>
        <w:jc w:val="center"/>
        <w:rPr>
          <w:b/>
          <w:sz w:val="28"/>
          <w:szCs w:val="28"/>
          <w:u w:val="single"/>
        </w:rPr>
      </w:pPr>
      <w:r w:rsidRPr="007A7510">
        <w:rPr>
          <w:b/>
          <w:sz w:val="28"/>
          <w:szCs w:val="28"/>
          <w:u w:val="single"/>
        </w:rPr>
        <w:t>Indigent Health Care Program</w:t>
      </w:r>
    </w:p>
    <w:p w:rsidR="00F86CA0" w:rsidRPr="007A7510" w:rsidRDefault="00F86CA0" w:rsidP="00F86CA0">
      <w:pPr>
        <w:jc w:val="center"/>
        <w:rPr>
          <w:b/>
          <w:sz w:val="28"/>
          <w:szCs w:val="28"/>
          <w:u w:val="single"/>
        </w:rPr>
      </w:pPr>
    </w:p>
    <w:p w:rsidR="00F86CA0" w:rsidRDefault="00F86CA0" w:rsidP="00F86CA0">
      <w:pPr>
        <w:rPr>
          <w:sz w:val="24"/>
          <w:szCs w:val="24"/>
        </w:rPr>
      </w:pPr>
      <w:r>
        <w:rPr>
          <w:b/>
          <w:bCs/>
          <w:i/>
          <w:iCs/>
          <w:sz w:val="24"/>
          <w:szCs w:val="24"/>
        </w:rPr>
        <w:t>Mailing Address:</w:t>
      </w:r>
    </w:p>
    <w:p w:rsidR="00F86CA0" w:rsidRDefault="00F86CA0" w:rsidP="00F86CA0">
      <w:pPr>
        <w:rPr>
          <w:sz w:val="24"/>
          <w:szCs w:val="24"/>
        </w:rPr>
      </w:pPr>
      <w:r>
        <w:rPr>
          <w:sz w:val="24"/>
          <w:szCs w:val="24"/>
        </w:rPr>
        <w:t>804 Pecan Street, Bastrop, TX   78602</w:t>
      </w:r>
    </w:p>
    <w:p w:rsidR="00F86CA0" w:rsidRDefault="00F86CA0" w:rsidP="00F86CA0">
      <w:pPr>
        <w:rPr>
          <w:b/>
          <w:bCs/>
          <w:i/>
          <w:iCs/>
          <w:sz w:val="24"/>
          <w:szCs w:val="24"/>
        </w:rPr>
      </w:pPr>
      <w:r>
        <w:rPr>
          <w:b/>
          <w:bCs/>
          <w:i/>
          <w:iCs/>
          <w:sz w:val="24"/>
          <w:szCs w:val="24"/>
        </w:rPr>
        <w:t>Office Location:</w:t>
      </w:r>
    </w:p>
    <w:p w:rsidR="00F86CA0" w:rsidRDefault="00F86CA0" w:rsidP="00F86CA0">
      <w:pPr>
        <w:rPr>
          <w:sz w:val="24"/>
          <w:szCs w:val="24"/>
        </w:rPr>
      </w:pPr>
      <w:r>
        <w:rPr>
          <w:sz w:val="24"/>
          <w:szCs w:val="24"/>
        </w:rPr>
        <w:t>104 Loop 150 W., Bastrop TX  78602</w:t>
      </w:r>
    </w:p>
    <w:p w:rsidR="00F86CA0" w:rsidRDefault="00F86CA0" w:rsidP="00F86CA0">
      <w:pPr>
        <w:rPr>
          <w:sz w:val="24"/>
          <w:szCs w:val="24"/>
        </w:rPr>
      </w:pPr>
      <w:r>
        <w:rPr>
          <w:b/>
          <w:bCs/>
          <w:i/>
          <w:iCs/>
          <w:sz w:val="24"/>
          <w:szCs w:val="24"/>
        </w:rPr>
        <w:t>Telephone:</w:t>
      </w:r>
      <w:r>
        <w:rPr>
          <w:sz w:val="24"/>
          <w:szCs w:val="24"/>
        </w:rPr>
        <w:tab/>
        <w:t>(512) 581-7170</w:t>
      </w:r>
    </w:p>
    <w:p w:rsidR="00F86CA0" w:rsidRDefault="00F86CA0" w:rsidP="00F86CA0">
      <w:pPr>
        <w:rPr>
          <w:sz w:val="24"/>
          <w:szCs w:val="24"/>
        </w:rPr>
      </w:pPr>
      <w:r>
        <w:rPr>
          <w:b/>
          <w:bCs/>
          <w:i/>
          <w:iCs/>
          <w:sz w:val="24"/>
          <w:szCs w:val="24"/>
        </w:rPr>
        <w:t>FAX:</w:t>
      </w:r>
      <w:r>
        <w:rPr>
          <w:b/>
          <w:bCs/>
          <w:i/>
          <w:iCs/>
          <w:sz w:val="24"/>
          <w:szCs w:val="24"/>
        </w:rPr>
        <w:tab/>
      </w:r>
      <w:r>
        <w:rPr>
          <w:b/>
          <w:bCs/>
          <w:i/>
          <w:iCs/>
          <w:sz w:val="24"/>
          <w:szCs w:val="24"/>
        </w:rPr>
        <w:tab/>
      </w:r>
      <w:r>
        <w:rPr>
          <w:sz w:val="24"/>
          <w:szCs w:val="24"/>
        </w:rPr>
        <w:t>(512) 332-7203</w:t>
      </w:r>
    </w:p>
    <w:p w:rsidR="00F86CA0" w:rsidRDefault="00F86CA0" w:rsidP="00F86CA0">
      <w:pPr>
        <w:rPr>
          <w:b/>
          <w:bCs/>
          <w:i/>
          <w:iCs/>
          <w:sz w:val="24"/>
          <w:szCs w:val="24"/>
        </w:rPr>
      </w:pPr>
    </w:p>
    <w:p w:rsidR="00F86CA0" w:rsidRPr="00A71E06" w:rsidRDefault="00F86CA0" w:rsidP="00F86CA0">
      <w:pPr>
        <w:rPr>
          <w:b/>
          <w:bCs/>
          <w:i/>
          <w:iCs/>
          <w:sz w:val="24"/>
          <w:szCs w:val="24"/>
          <w:u w:val="single"/>
        </w:rPr>
      </w:pPr>
      <w:r w:rsidRPr="00A71E06">
        <w:rPr>
          <w:b/>
          <w:bCs/>
          <w:i/>
          <w:iCs/>
          <w:sz w:val="24"/>
          <w:szCs w:val="24"/>
          <w:u w:val="single"/>
        </w:rPr>
        <w:t>Office Hours:</w:t>
      </w:r>
    </w:p>
    <w:p w:rsidR="00A71E06" w:rsidRDefault="00F86CA0" w:rsidP="00F86CA0">
      <w:pPr>
        <w:rPr>
          <w:sz w:val="24"/>
          <w:szCs w:val="24"/>
        </w:rPr>
      </w:pPr>
      <w:r>
        <w:rPr>
          <w:sz w:val="24"/>
          <w:szCs w:val="24"/>
        </w:rPr>
        <w:t xml:space="preserve">8:00 am - 5:00 pm Monday-Friday </w:t>
      </w:r>
    </w:p>
    <w:p w:rsidR="00F86CA0" w:rsidRDefault="00F86CA0" w:rsidP="00F86CA0">
      <w:pPr>
        <w:rPr>
          <w:sz w:val="24"/>
          <w:szCs w:val="24"/>
        </w:rPr>
      </w:pPr>
      <w:r>
        <w:rPr>
          <w:sz w:val="24"/>
          <w:szCs w:val="24"/>
        </w:rPr>
        <w:t>(</w:t>
      </w:r>
      <w:proofErr w:type="gramStart"/>
      <w:r>
        <w:rPr>
          <w:sz w:val="24"/>
          <w:szCs w:val="24"/>
        </w:rPr>
        <w:t>closed</w:t>
      </w:r>
      <w:proofErr w:type="gramEnd"/>
      <w:r>
        <w:rPr>
          <w:sz w:val="24"/>
          <w:szCs w:val="24"/>
        </w:rPr>
        <w:t xml:space="preserve"> for lunch 12:00</w:t>
      </w:r>
      <w:r w:rsidR="0087532F">
        <w:rPr>
          <w:sz w:val="24"/>
          <w:szCs w:val="24"/>
        </w:rPr>
        <w:t xml:space="preserve"> pm </w:t>
      </w:r>
      <w:r>
        <w:rPr>
          <w:sz w:val="24"/>
          <w:szCs w:val="24"/>
        </w:rPr>
        <w:t>-1:00 pm)</w:t>
      </w:r>
    </w:p>
    <w:p w:rsidR="00F86CA0" w:rsidRPr="00A71E06" w:rsidRDefault="00F86CA0" w:rsidP="00F86CA0">
      <w:pPr>
        <w:rPr>
          <w:b/>
          <w:sz w:val="24"/>
          <w:szCs w:val="24"/>
        </w:rPr>
      </w:pPr>
      <w:r w:rsidRPr="00A71E06">
        <w:rPr>
          <w:b/>
          <w:sz w:val="24"/>
          <w:szCs w:val="24"/>
        </w:rPr>
        <w:t xml:space="preserve">Walk-In screenings </w:t>
      </w:r>
    </w:p>
    <w:p w:rsidR="00A71E06" w:rsidRDefault="00F86CA0" w:rsidP="00F86CA0">
      <w:pPr>
        <w:rPr>
          <w:sz w:val="24"/>
          <w:szCs w:val="24"/>
        </w:rPr>
      </w:pPr>
      <w:r>
        <w:rPr>
          <w:sz w:val="24"/>
          <w:szCs w:val="24"/>
        </w:rPr>
        <w:t xml:space="preserve">8:00 am – 4:00 pm </w:t>
      </w:r>
      <w:r w:rsidR="00A71E06">
        <w:rPr>
          <w:sz w:val="24"/>
          <w:szCs w:val="24"/>
        </w:rPr>
        <w:t>Monday-Friday</w:t>
      </w:r>
    </w:p>
    <w:p w:rsidR="00F86CA0" w:rsidRDefault="00F86CA0" w:rsidP="00F86CA0">
      <w:pPr>
        <w:rPr>
          <w:sz w:val="24"/>
          <w:szCs w:val="24"/>
        </w:rPr>
      </w:pPr>
      <w:r>
        <w:rPr>
          <w:sz w:val="24"/>
          <w:szCs w:val="24"/>
        </w:rPr>
        <w:t>(</w:t>
      </w:r>
      <w:proofErr w:type="gramStart"/>
      <w:r>
        <w:rPr>
          <w:sz w:val="24"/>
          <w:szCs w:val="24"/>
        </w:rPr>
        <w:t>closed</w:t>
      </w:r>
      <w:proofErr w:type="gramEnd"/>
      <w:r>
        <w:rPr>
          <w:sz w:val="24"/>
          <w:szCs w:val="24"/>
        </w:rPr>
        <w:t xml:space="preserve"> for lunch 12:00</w:t>
      </w:r>
      <w:r w:rsidR="0087532F">
        <w:rPr>
          <w:sz w:val="24"/>
          <w:szCs w:val="24"/>
        </w:rPr>
        <w:t xml:space="preserve"> pm </w:t>
      </w:r>
      <w:r>
        <w:rPr>
          <w:sz w:val="24"/>
          <w:szCs w:val="24"/>
        </w:rPr>
        <w:t>-1:00 pm)</w:t>
      </w:r>
    </w:p>
    <w:p w:rsidR="00F86CA0" w:rsidRDefault="00F86CA0" w:rsidP="00F86CA0">
      <w:pPr>
        <w:rPr>
          <w:sz w:val="24"/>
          <w:szCs w:val="24"/>
        </w:rPr>
      </w:pPr>
    </w:p>
    <w:p w:rsidR="00F86CA0" w:rsidRDefault="00F86CA0" w:rsidP="00F86CA0">
      <w:pPr>
        <w:rPr>
          <w:sz w:val="40"/>
          <w:szCs w:val="40"/>
        </w:rPr>
      </w:pPr>
      <w:r>
        <w:rPr>
          <w:sz w:val="24"/>
          <w:szCs w:val="24"/>
        </w:rPr>
        <w:t>Assistance will be available upon request for completing applications.  Applicants are responsible for correctly filling out the application and providing information required for verification and documentation of residency, income, and resources.  The county will notify the applicant in writing of his/her eligibility within 14 days from the receipt of the completed application and required documentation.  Applicant has the right to appeal eligibility decisions within 90 days from the receipt of written notice of ineligibility.</w:t>
      </w:r>
    </w:p>
    <w:p w:rsidR="00F86CA0" w:rsidRDefault="00F86CA0" w:rsidP="00371753">
      <w:pPr>
        <w:rPr>
          <w:rStyle w:val="Strong"/>
          <w:rFonts w:ascii="Verdana" w:hAnsi="Verdana"/>
          <w:color w:val="1B1B1B"/>
          <w:sz w:val="24"/>
          <w:szCs w:val="24"/>
          <w:u w:val="single"/>
          <w:shd w:val="clear" w:color="auto" w:fill="FFFFFF"/>
        </w:rPr>
      </w:pPr>
    </w:p>
    <w:p w:rsidR="00F86CA0" w:rsidRDefault="00F86CA0" w:rsidP="00371753">
      <w:pPr>
        <w:rPr>
          <w:rStyle w:val="Strong"/>
          <w:rFonts w:ascii="Verdana" w:hAnsi="Verdana"/>
          <w:color w:val="1B1B1B"/>
          <w:sz w:val="24"/>
          <w:szCs w:val="24"/>
          <w:u w:val="single"/>
          <w:shd w:val="clear" w:color="auto" w:fill="FFFFFF"/>
        </w:rPr>
      </w:pPr>
    </w:p>
    <w:p w:rsidR="00F86CA0" w:rsidRDefault="00F86CA0" w:rsidP="00371753">
      <w:pPr>
        <w:rPr>
          <w:rStyle w:val="Strong"/>
          <w:rFonts w:ascii="Verdana" w:hAnsi="Verdana"/>
          <w:color w:val="1B1B1B"/>
          <w:sz w:val="24"/>
          <w:szCs w:val="24"/>
          <w:u w:val="single"/>
          <w:shd w:val="clear" w:color="auto" w:fill="FFFFFF"/>
        </w:rPr>
      </w:pPr>
    </w:p>
    <w:p w:rsidR="00F86CA0" w:rsidRDefault="00F86CA0" w:rsidP="00371753">
      <w:pPr>
        <w:rPr>
          <w:rStyle w:val="Strong"/>
          <w:rFonts w:ascii="Verdana" w:hAnsi="Verdana"/>
          <w:color w:val="1B1B1B"/>
          <w:sz w:val="24"/>
          <w:szCs w:val="24"/>
          <w:u w:val="single"/>
          <w:shd w:val="clear" w:color="auto" w:fill="FFFFFF"/>
        </w:rPr>
      </w:pPr>
    </w:p>
    <w:p w:rsidR="00F86CA0" w:rsidRDefault="00F86CA0" w:rsidP="00371753">
      <w:pPr>
        <w:rPr>
          <w:rStyle w:val="Strong"/>
          <w:rFonts w:ascii="Verdana" w:hAnsi="Verdana"/>
          <w:color w:val="1B1B1B"/>
          <w:sz w:val="24"/>
          <w:szCs w:val="24"/>
          <w:u w:val="single"/>
          <w:shd w:val="clear" w:color="auto" w:fill="FFFFFF"/>
        </w:rPr>
      </w:pPr>
    </w:p>
    <w:p w:rsidR="00F86CA0" w:rsidRDefault="00F86CA0" w:rsidP="00371753">
      <w:pPr>
        <w:rPr>
          <w:rStyle w:val="Strong"/>
          <w:rFonts w:ascii="Verdana" w:hAnsi="Verdana"/>
          <w:color w:val="1B1B1B"/>
          <w:sz w:val="24"/>
          <w:szCs w:val="24"/>
          <w:u w:val="single"/>
          <w:shd w:val="clear" w:color="auto" w:fill="FFFFFF"/>
        </w:rPr>
      </w:pPr>
    </w:p>
    <w:p w:rsidR="00F86CA0" w:rsidRDefault="00F86CA0" w:rsidP="00371753">
      <w:pPr>
        <w:rPr>
          <w:rStyle w:val="Strong"/>
          <w:rFonts w:ascii="Verdana" w:hAnsi="Verdana"/>
          <w:color w:val="1B1B1B"/>
          <w:sz w:val="24"/>
          <w:szCs w:val="24"/>
          <w:u w:val="single"/>
          <w:shd w:val="clear" w:color="auto" w:fill="FFFFFF"/>
        </w:rPr>
      </w:pPr>
    </w:p>
    <w:p w:rsidR="00F86CA0" w:rsidRDefault="00F86CA0" w:rsidP="00371753">
      <w:pPr>
        <w:rPr>
          <w:rStyle w:val="Strong"/>
          <w:rFonts w:ascii="Verdana" w:hAnsi="Verdana"/>
          <w:color w:val="1B1B1B"/>
          <w:sz w:val="24"/>
          <w:szCs w:val="24"/>
          <w:u w:val="single"/>
          <w:shd w:val="clear" w:color="auto" w:fill="FFFFFF"/>
        </w:rPr>
      </w:pPr>
    </w:p>
    <w:p w:rsidR="00F86CA0" w:rsidRDefault="00F86CA0" w:rsidP="00371753">
      <w:pPr>
        <w:rPr>
          <w:rStyle w:val="Strong"/>
          <w:rFonts w:ascii="Verdana" w:hAnsi="Verdana"/>
          <w:color w:val="1B1B1B"/>
          <w:sz w:val="24"/>
          <w:szCs w:val="24"/>
          <w:u w:val="single"/>
          <w:shd w:val="clear" w:color="auto" w:fill="FFFFFF"/>
        </w:rPr>
      </w:pPr>
    </w:p>
    <w:p w:rsidR="00F86CA0" w:rsidRDefault="00F86CA0" w:rsidP="00371753">
      <w:pPr>
        <w:rPr>
          <w:rStyle w:val="Strong"/>
          <w:rFonts w:ascii="Verdana" w:hAnsi="Verdana"/>
          <w:color w:val="1B1B1B"/>
          <w:sz w:val="24"/>
          <w:szCs w:val="24"/>
          <w:u w:val="single"/>
          <w:shd w:val="clear" w:color="auto" w:fill="FFFFFF"/>
        </w:rPr>
      </w:pPr>
    </w:p>
    <w:p w:rsidR="00371753" w:rsidRDefault="00371753" w:rsidP="00371753">
      <w:pPr>
        <w:rPr>
          <w:rStyle w:val="Strong"/>
          <w:rFonts w:ascii="Verdana" w:hAnsi="Verdana"/>
          <w:color w:val="1B1B1B"/>
          <w:sz w:val="24"/>
          <w:szCs w:val="24"/>
          <w:u w:val="single"/>
          <w:shd w:val="clear" w:color="auto" w:fill="FFFFFF"/>
        </w:rPr>
      </w:pPr>
      <w:r w:rsidRPr="00353E5D">
        <w:rPr>
          <w:rStyle w:val="Strong"/>
          <w:rFonts w:ascii="Verdana" w:hAnsi="Verdana"/>
          <w:color w:val="1B1B1B"/>
          <w:sz w:val="24"/>
          <w:szCs w:val="24"/>
          <w:u w:val="single"/>
          <w:shd w:val="clear" w:color="auto" w:fill="FFFFFF"/>
        </w:rPr>
        <w:t>CIHCP Monthly In</w:t>
      </w:r>
      <w:r w:rsidR="00263946">
        <w:rPr>
          <w:rStyle w:val="Strong"/>
          <w:rFonts w:ascii="Verdana" w:hAnsi="Verdana"/>
          <w:color w:val="1B1B1B"/>
          <w:sz w:val="24"/>
          <w:szCs w:val="24"/>
          <w:u w:val="single"/>
          <w:shd w:val="clear" w:color="auto" w:fill="FFFFFF"/>
        </w:rPr>
        <w:t>come Standard Based on the 2023</w:t>
      </w:r>
      <w:r w:rsidR="00BA3E9E">
        <w:rPr>
          <w:rStyle w:val="Strong"/>
          <w:rFonts w:ascii="Verdana" w:hAnsi="Verdana"/>
          <w:color w:val="1B1B1B"/>
          <w:sz w:val="24"/>
          <w:szCs w:val="24"/>
          <w:u w:val="single"/>
          <w:shd w:val="clear" w:color="auto" w:fill="FFFFFF"/>
        </w:rPr>
        <w:t xml:space="preserve"> </w:t>
      </w:r>
      <w:r w:rsidRPr="00353E5D">
        <w:rPr>
          <w:rStyle w:val="Strong"/>
          <w:rFonts w:ascii="Verdana" w:hAnsi="Verdana"/>
          <w:color w:val="1B1B1B"/>
          <w:sz w:val="24"/>
          <w:szCs w:val="24"/>
          <w:u w:val="single"/>
          <w:shd w:val="clear" w:color="auto" w:fill="FFFFFF"/>
        </w:rPr>
        <w:t>FPG</w:t>
      </w:r>
    </w:p>
    <w:p w:rsidR="0038319C" w:rsidRDefault="0038319C" w:rsidP="00371753">
      <w:pPr>
        <w:rPr>
          <w:rStyle w:val="Strong"/>
          <w:rFonts w:ascii="Verdana" w:hAnsi="Verdana"/>
          <w:color w:val="1B1B1B"/>
          <w:sz w:val="24"/>
          <w:szCs w:val="24"/>
          <w:u w:val="single"/>
          <w:shd w:val="clear" w:color="auto" w:fill="FFFFFF"/>
        </w:rPr>
      </w:pPr>
    </w:p>
    <w:p w:rsidR="0038319C" w:rsidRPr="00C638B2" w:rsidRDefault="0038319C" w:rsidP="00C638B2">
      <w:pPr>
        <w:jc w:val="center"/>
        <w:rPr>
          <w:rFonts w:ascii="Verdana" w:hAnsi="Verdana"/>
          <w:sz w:val="22"/>
          <w:szCs w:val="22"/>
          <w:u w:val="single"/>
        </w:rPr>
      </w:pPr>
      <w:r w:rsidRPr="00C638B2">
        <w:rPr>
          <w:rFonts w:ascii="Verdana" w:hAnsi="Verdana"/>
          <w:sz w:val="22"/>
          <w:szCs w:val="22"/>
          <w:u w:val="single"/>
        </w:rPr>
        <w:t>EARNED INCOME VS UNEARNED INCOME FOR ELIGIBILITY:</w:t>
      </w:r>
    </w:p>
    <w:p w:rsidR="00A227B5" w:rsidRDefault="00A227B5" w:rsidP="00371753">
      <w:pPr>
        <w:rPr>
          <w:rStyle w:val="Strong"/>
          <w:rFonts w:ascii="Verdana" w:hAnsi="Verdana"/>
          <w:color w:val="1B1B1B"/>
          <w:sz w:val="24"/>
          <w:szCs w:val="24"/>
          <w:u w:val="single"/>
          <w:shd w:val="clear" w:color="auto" w:fill="FFFFFF"/>
        </w:rPr>
      </w:pPr>
    </w:p>
    <w:p w:rsidR="00A227B5" w:rsidRPr="00C638B2" w:rsidRDefault="0038319C" w:rsidP="00F908E7">
      <w:pPr>
        <w:rPr>
          <w:sz w:val="22"/>
          <w:szCs w:val="22"/>
        </w:rPr>
      </w:pPr>
      <w:r w:rsidRPr="00C638B2">
        <w:rPr>
          <w:sz w:val="22"/>
          <w:szCs w:val="22"/>
        </w:rPr>
        <w:t>Gross Unearned Income Chart:</w:t>
      </w:r>
    </w:p>
    <w:tbl>
      <w:tblPr>
        <w:tblW w:w="3382" w:type="dxa"/>
        <w:tblInd w:w="118" w:type="dxa"/>
        <w:tblLook w:val="04A0" w:firstRow="1" w:lastRow="0" w:firstColumn="1" w:lastColumn="0" w:noHBand="0" w:noVBand="1"/>
      </w:tblPr>
      <w:tblGrid>
        <w:gridCol w:w="1544"/>
        <w:gridCol w:w="1838"/>
      </w:tblGrid>
      <w:tr w:rsidR="005A10F2" w:rsidRPr="00C9213B" w:rsidTr="00A71E06">
        <w:trPr>
          <w:trHeight w:val="1800"/>
        </w:trPr>
        <w:tc>
          <w:tcPr>
            <w:tcW w:w="1544" w:type="dxa"/>
            <w:tcBorders>
              <w:top w:val="single" w:sz="8" w:space="0" w:color="A9AEB1"/>
              <w:left w:val="single" w:sz="8" w:space="0" w:color="A9AEB1"/>
              <w:bottom w:val="single" w:sz="8" w:space="0" w:color="A9AEB1"/>
              <w:right w:val="single" w:sz="8" w:space="0" w:color="A9AEB1"/>
            </w:tcBorders>
            <w:shd w:val="clear" w:color="000000" w:fill="DFE1E2"/>
            <w:vAlign w:val="center"/>
            <w:hideMark/>
          </w:tcPr>
          <w:p w:rsidR="005A10F2" w:rsidRPr="00C9213B" w:rsidRDefault="005A10F2" w:rsidP="008C046C">
            <w:pPr>
              <w:widowControl/>
              <w:overflowPunct/>
              <w:autoSpaceDE/>
              <w:autoSpaceDN/>
              <w:adjustRightInd/>
              <w:rPr>
                <w:rFonts w:ascii="Arial" w:eastAsia="Times New Roman" w:hAnsi="Arial" w:cs="Arial"/>
                <w:color w:val="1B1B1B"/>
                <w:kern w:val="0"/>
              </w:rPr>
            </w:pPr>
            <w:r w:rsidRPr="00C9213B">
              <w:rPr>
                <w:rFonts w:ascii="Arial" w:eastAsia="Times New Roman" w:hAnsi="Arial" w:cs="Arial"/>
                <w:color w:val="1B1B1B"/>
                <w:kern w:val="0"/>
              </w:rPr>
              <w:t>Number of Individuals in the CIHCP Household</w:t>
            </w:r>
          </w:p>
        </w:tc>
        <w:tc>
          <w:tcPr>
            <w:tcW w:w="1838" w:type="dxa"/>
            <w:tcBorders>
              <w:top w:val="single" w:sz="8" w:space="0" w:color="A9AEB1"/>
              <w:left w:val="nil"/>
              <w:bottom w:val="single" w:sz="8" w:space="0" w:color="A9AEB1"/>
              <w:right w:val="single" w:sz="8" w:space="0" w:color="A9AEB1"/>
            </w:tcBorders>
            <w:shd w:val="clear" w:color="000000" w:fill="DFE1E2"/>
            <w:vAlign w:val="center"/>
            <w:hideMark/>
          </w:tcPr>
          <w:p w:rsidR="005A10F2" w:rsidRPr="00C9213B" w:rsidRDefault="005A10F2" w:rsidP="008C046C">
            <w:pPr>
              <w:widowControl/>
              <w:overflowPunct/>
              <w:autoSpaceDE/>
              <w:autoSpaceDN/>
              <w:adjustRightInd/>
              <w:rPr>
                <w:rFonts w:ascii="Arial" w:eastAsia="Times New Roman" w:hAnsi="Arial" w:cs="Arial"/>
                <w:color w:val="1B1B1B"/>
                <w:kern w:val="0"/>
              </w:rPr>
            </w:pPr>
            <w:r w:rsidRPr="00C9213B">
              <w:rPr>
                <w:rFonts w:ascii="Arial" w:eastAsia="Times New Roman" w:hAnsi="Arial" w:cs="Arial"/>
                <w:color w:val="1B1B1B"/>
                <w:kern w:val="0"/>
              </w:rPr>
              <w:t>21% FPG Minimum Income Standard</w:t>
            </w:r>
          </w:p>
        </w:tc>
      </w:tr>
      <w:tr w:rsidR="005A10F2" w:rsidRPr="00C9213B" w:rsidTr="00A71E06">
        <w:trPr>
          <w:trHeight w:val="315"/>
        </w:trPr>
        <w:tc>
          <w:tcPr>
            <w:tcW w:w="1544" w:type="dxa"/>
            <w:tcBorders>
              <w:top w:val="nil"/>
              <w:left w:val="single" w:sz="8" w:space="0" w:color="A9AEB1"/>
              <w:bottom w:val="single" w:sz="8" w:space="0" w:color="A9AEB1"/>
              <w:right w:val="single" w:sz="8" w:space="0" w:color="A9AEB1"/>
            </w:tcBorders>
            <w:shd w:val="clear" w:color="000000" w:fill="FFFFFF"/>
            <w:vAlign w:val="center"/>
            <w:hideMark/>
          </w:tcPr>
          <w:p w:rsidR="005A10F2" w:rsidRPr="00C9213B" w:rsidRDefault="005A10F2" w:rsidP="00A71E06">
            <w:pPr>
              <w:widowControl/>
              <w:overflowPunct/>
              <w:autoSpaceDE/>
              <w:autoSpaceDN/>
              <w:adjustRightInd/>
              <w:jc w:val="center"/>
              <w:rPr>
                <w:rFonts w:ascii="Arial" w:eastAsia="Times New Roman" w:hAnsi="Arial" w:cs="Arial"/>
                <w:color w:val="1B1B1B"/>
                <w:kern w:val="0"/>
              </w:rPr>
            </w:pPr>
            <w:bookmarkStart w:id="0" w:name="_GoBack" w:colFirst="0" w:colLast="1"/>
            <w:r w:rsidRPr="00C9213B">
              <w:rPr>
                <w:rFonts w:ascii="Arial" w:eastAsia="Times New Roman" w:hAnsi="Arial" w:cs="Arial"/>
                <w:color w:val="1B1B1B"/>
                <w:kern w:val="0"/>
              </w:rPr>
              <w:t>1</w:t>
            </w:r>
          </w:p>
        </w:tc>
        <w:tc>
          <w:tcPr>
            <w:tcW w:w="1838" w:type="dxa"/>
            <w:tcBorders>
              <w:top w:val="nil"/>
              <w:left w:val="nil"/>
              <w:bottom w:val="single" w:sz="8" w:space="0" w:color="A9AEB1"/>
              <w:right w:val="single" w:sz="8" w:space="0" w:color="A9AEB1"/>
            </w:tcBorders>
            <w:shd w:val="clear" w:color="000000" w:fill="FFFFFF"/>
            <w:vAlign w:val="center"/>
            <w:hideMark/>
          </w:tcPr>
          <w:p w:rsidR="005A10F2" w:rsidRPr="00C9213B" w:rsidRDefault="00263946" w:rsidP="00A71E06">
            <w:pPr>
              <w:widowControl/>
              <w:overflowPunct/>
              <w:autoSpaceDE/>
              <w:autoSpaceDN/>
              <w:adjustRightInd/>
              <w:jc w:val="center"/>
              <w:rPr>
                <w:rFonts w:ascii="Arial" w:eastAsia="Times New Roman" w:hAnsi="Arial" w:cs="Arial"/>
                <w:color w:val="1B1B1B"/>
                <w:kern w:val="0"/>
              </w:rPr>
            </w:pPr>
            <w:r>
              <w:rPr>
                <w:rFonts w:ascii="Arial" w:eastAsia="Times New Roman" w:hAnsi="Arial" w:cs="Arial"/>
                <w:color w:val="1B1B1B"/>
                <w:kern w:val="0"/>
              </w:rPr>
              <w:t>$255</w:t>
            </w:r>
          </w:p>
        </w:tc>
      </w:tr>
      <w:tr w:rsidR="005A10F2" w:rsidRPr="00C9213B" w:rsidTr="00A71E06">
        <w:trPr>
          <w:trHeight w:val="315"/>
        </w:trPr>
        <w:tc>
          <w:tcPr>
            <w:tcW w:w="1544" w:type="dxa"/>
            <w:tcBorders>
              <w:top w:val="nil"/>
              <w:left w:val="single" w:sz="8" w:space="0" w:color="A9AEB1"/>
              <w:bottom w:val="single" w:sz="8" w:space="0" w:color="A9AEB1"/>
              <w:right w:val="single" w:sz="8" w:space="0" w:color="A9AEB1"/>
            </w:tcBorders>
            <w:shd w:val="clear" w:color="000000" w:fill="F0F0F0"/>
            <w:vAlign w:val="center"/>
            <w:hideMark/>
          </w:tcPr>
          <w:p w:rsidR="005A10F2" w:rsidRPr="00C9213B" w:rsidRDefault="005A10F2" w:rsidP="00A71E06">
            <w:pPr>
              <w:widowControl/>
              <w:overflowPunct/>
              <w:autoSpaceDE/>
              <w:autoSpaceDN/>
              <w:adjustRightInd/>
              <w:jc w:val="center"/>
              <w:rPr>
                <w:rFonts w:ascii="Arial" w:eastAsia="Times New Roman" w:hAnsi="Arial" w:cs="Arial"/>
                <w:color w:val="1B1B1B"/>
                <w:kern w:val="0"/>
              </w:rPr>
            </w:pPr>
            <w:r w:rsidRPr="00C9213B">
              <w:rPr>
                <w:rFonts w:ascii="Arial" w:eastAsia="Times New Roman" w:hAnsi="Arial" w:cs="Arial"/>
                <w:color w:val="1B1B1B"/>
                <w:kern w:val="0"/>
              </w:rPr>
              <w:t>2</w:t>
            </w:r>
          </w:p>
        </w:tc>
        <w:tc>
          <w:tcPr>
            <w:tcW w:w="1838" w:type="dxa"/>
            <w:tcBorders>
              <w:top w:val="nil"/>
              <w:left w:val="nil"/>
              <w:bottom w:val="single" w:sz="8" w:space="0" w:color="A9AEB1"/>
              <w:right w:val="single" w:sz="8" w:space="0" w:color="A9AEB1"/>
            </w:tcBorders>
            <w:shd w:val="clear" w:color="000000" w:fill="F0F0F0"/>
            <w:vAlign w:val="center"/>
            <w:hideMark/>
          </w:tcPr>
          <w:p w:rsidR="005A10F2" w:rsidRPr="00C9213B" w:rsidRDefault="00263946" w:rsidP="00A71E06">
            <w:pPr>
              <w:widowControl/>
              <w:overflowPunct/>
              <w:autoSpaceDE/>
              <w:autoSpaceDN/>
              <w:adjustRightInd/>
              <w:jc w:val="center"/>
              <w:rPr>
                <w:rFonts w:ascii="Arial" w:eastAsia="Times New Roman" w:hAnsi="Arial" w:cs="Arial"/>
                <w:color w:val="1B1B1B"/>
                <w:kern w:val="0"/>
              </w:rPr>
            </w:pPr>
            <w:r>
              <w:rPr>
                <w:rFonts w:ascii="Arial" w:eastAsia="Times New Roman" w:hAnsi="Arial" w:cs="Arial"/>
                <w:color w:val="1B1B1B"/>
                <w:kern w:val="0"/>
              </w:rPr>
              <w:t>$345</w:t>
            </w:r>
          </w:p>
        </w:tc>
      </w:tr>
      <w:tr w:rsidR="005A10F2" w:rsidRPr="00C9213B" w:rsidTr="00A71E06">
        <w:trPr>
          <w:trHeight w:val="315"/>
        </w:trPr>
        <w:tc>
          <w:tcPr>
            <w:tcW w:w="1544" w:type="dxa"/>
            <w:tcBorders>
              <w:top w:val="nil"/>
              <w:left w:val="single" w:sz="8" w:space="0" w:color="A9AEB1"/>
              <w:bottom w:val="single" w:sz="8" w:space="0" w:color="A9AEB1"/>
              <w:right w:val="single" w:sz="8" w:space="0" w:color="A9AEB1"/>
            </w:tcBorders>
            <w:shd w:val="clear" w:color="000000" w:fill="FFFFFF"/>
            <w:vAlign w:val="center"/>
            <w:hideMark/>
          </w:tcPr>
          <w:p w:rsidR="005A10F2" w:rsidRPr="00C9213B" w:rsidRDefault="005A10F2" w:rsidP="00A71E06">
            <w:pPr>
              <w:widowControl/>
              <w:overflowPunct/>
              <w:autoSpaceDE/>
              <w:autoSpaceDN/>
              <w:adjustRightInd/>
              <w:jc w:val="center"/>
              <w:rPr>
                <w:rFonts w:ascii="Arial" w:eastAsia="Times New Roman" w:hAnsi="Arial" w:cs="Arial"/>
                <w:color w:val="1B1B1B"/>
                <w:kern w:val="0"/>
              </w:rPr>
            </w:pPr>
            <w:r w:rsidRPr="00C9213B">
              <w:rPr>
                <w:rFonts w:ascii="Arial" w:eastAsia="Times New Roman" w:hAnsi="Arial" w:cs="Arial"/>
                <w:color w:val="1B1B1B"/>
                <w:kern w:val="0"/>
              </w:rPr>
              <w:t>3</w:t>
            </w:r>
          </w:p>
        </w:tc>
        <w:tc>
          <w:tcPr>
            <w:tcW w:w="1838" w:type="dxa"/>
            <w:tcBorders>
              <w:top w:val="nil"/>
              <w:left w:val="nil"/>
              <w:bottom w:val="single" w:sz="8" w:space="0" w:color="A9AEB1"/>
              <w:right w:val="single" w:sz="8" w:space="0" w:color="A9AEB1"/>
            </w:tcBorders>
            <w:shd w:val="clear" w:color="000000" w:fill="FFFFFF"/>
            <w:vAlign w:val="center"/>
            <w:hideMark/>
          </w:tcPr>
          <w:p w:rsidR="005A10F2" w:rsidRPr="00C9213B" w:rsidRDefault="005A10F2" w:rsidP="00A71E06">
            <w:pPr>
              <w:widowControl/>
              <w:overflowPunct/>
              <w:autoSpaceDE/>
              <w:autoSpaceDN/>
              <w:adjustRightInd/>
              <w:jc w:val="center"/>
              <w:rPr>
                <w:rFonts w:ascii="Arial" w:eastAsia="Times New Roman" w:hAnsi="Arial" w:cs="Arial"/>
                <w:color w:val="1B1B1B"/>
                <w:kern w:val="0"/>
              </w:rPr>
            </w:pPr>
            <w:r w:rsidRPr="00C9213B">
              <w:rPr>
                <w:rFonts w:ascii="Arial" w:eastAsia="Times New Roman" w:hAnsi="Arial" w:cs="Arial"/>
                <w:color w:val="1B1B1B"/>
                <w:kern w:val="0"/>
              </w:rPr>
              <w:t>$</w:t>
            </w:r>
            <w:r w:rsidR="00263946">
              <w:rPr>
                <w:rFonts w:ascii="Arial" w:eastAsia="Times New Roman" w:hAnsi="Arial" w:cs="Arial"/>
                <w:color w:val="1B1B1B"/>
                <w:kern w:val="0"/>
              </w:rPr>
              <w:t>435</w:t>
            </w:r>
          </w:p>
        </w:tc>
      </w:tr>
      <w:tr w:rsidR="005A10F2" w:rsidRPr="00C9213B" w:rsidTr="00A71E06">
        <w:trPr>
          <w:trHeight w:val="315"/>
        </w:trPr>
        <w:tc>
          <w:tcPr>
            <w:tcW w:w="1544" w:type="dxa"/>
            <w:tcBorders>
              <w:top w:val="nil"/>
              <w:left w:val="single" w:sz="8" w:space="0" w:color="A9AEB1"/>
              <w:bottom w:val="single" w:sz="8" w:space="0" w:color="A9AEB1"/>
              <w:right w:val="single" w:sz="8" w:space="0" w:color="A9AEB1"/>
            </w:tcBorders>
            <w:shd w:val="clear" w:color="000000" w:fill="F0F0F0"/>
            <w:vAlign w:val="center"/>
            <w:hideMark/>
          </w:tcPr>
          <w:p w:rsidR="005A10F2" w:rsidRPr="00C9213B" w:rsidRDefault="005A10F2" w:rsidP="00A71E06">
            <w:pPr>
              <w:widowControl/>
              <w:overflowPunct/>
              <w:autoSpaceDE/>
              <w:autoSpaceDN/>
              <w:adjustRightInd/>
              <w:jc w:val="center"/>
              <w:rPr>
                <w:rFonts w:ascii="Arial" w:eastAsia="Times New Roman" w:hAnsi="Arial" w:cs="Arial"/>
                <w:color w:val="1B1B1B"/>
                <w:kern w:val="0"/>
              </w:rPr>
            </w:pPr>
            <w:r w:rsidRPr="00C9213B">
              <w:rPr>
                <w:rFonts w:ascii="Arial" w:eastAsia="Times New Roman" w:hAnsi="Arial" w:cs="Arial"/>
                <w:color w:val="1B1B1B"/>
                <w:kern w:val="0"/>
              </w:rPr>
              <w:t>4</w:t>
            </w:r>
          </w:p>
        </w:tc>
        <w:tc>
          <w:tcPr>
            <w:tcW w:w="1838" w:type="dxa"/>
            <w:tcBorders>
              <w:top w:val="nil"/>
              <w:left w:val="nil"/>
              <w:bottom w:val="single" w:sz="8" w:space="0" w:color="A9AEB1"/>
              <w:right w:val="single" w:sz="8" w:space="0" w:color="A9AEB1"/>
            </w:tcBorders>
            <w:shd w:val="clear" w:color="000000" w:fill="F0F0F0"/>
            <w:vAlign w:val="center"/>
            <w:hideMark/>
          </w:tcPr>
          <w:p w:rsidR="005A10F2" w:rsidRPr="00C9213B" w:rsidRDefault="00263946" w:rsidP="00A71E06">
            <w:pPr>
              <w:widowControl/>
              <w:overflowPunct/>
              <w:autoSpaceDE/>
              <w:autoSpaceDN/>
              <w:adjustRightInd/>
              <w:jc w:val="center"/>
              <w:rPr>
                <w:rFonts w:ascii="Arial" w:eastAsia="Times New Roman" w:hAnsi="Arial" w:cs="Arial"/>
                <w:color w:val="1B1B1B"/>
                <w:kern w:val="0"/>
              </w:rPr>
            </w:pPr>
            <w:r>
              <w:rPr>
                <w:rFonts w:ascii="Arial" w:eastAsia="Times New Roman" w:hAnsi="Arial" w:cs="Arial"/>
                <w:color w:val="1B1B1B"/>
                <w:kern w:val="0"/>
              </w:rPr>
              <w:t>$525</w:t>
            </w:r>
          </w:p>
        </w:tc>
      </w:tr>
      <w:tr w:rsidR="005A10F2" w:rsidRPr="00C9213B" w:rsidTr="00A71E06">
        <w:trPr>
          <w:trHeight w:val="315"/>
        </w:trPr>
        <w:tc>
          <w:tcPr>
            <w:tcW w:w="1544" w:type="dxa"/>
            <w:tcBorders>
              <w:top w:val="nil"/>
              <w:left w:val="single" w:sz="8" w:space="0" w:color="A9AEB1"/>
              <w:bottom w:val="single" w:sz="8" w:space="0" w:color="A9AEB1"/>
              <w:right w:val="single" w:sz="8" w:space="0" w:color="A9AEB1"/>
            </w:tcBorders>
            <w:shd w:val="clear" w:color="000000" w:fill="FFFFFF"/>
            <w:vAlign w:val="center"/>
            <w:hideMark/>
          </w:tcPr>
          <w:p w:rsidR="005A10F2" w:rsidRPr="00C9213B" w:rsidRDefault="005A10F2" w:rsidP="00A71E06">
            <w:pPr>
              <w:widowControl/>
              <w:overflowPunct/>
              <w:autoSpaceDE/>
              <w:autoSpaceDN/>
              <w:adjustRightInd/>
              <w:jc w:val="center"/>
              <w:rPr>
                <w:rFonts w:ascii="Arial" w:eastAsia="Times New Roman" w:hAnsi="Arial" w:cs="Arial"/>
                <w:color w:val="1B1B1B"/>
                <w:kern w:val="0"/>
              </w:rPr>
            </w:pPr>
            <w:r w:rsidRPr="00C9213B">
              <w:rPr>
                <w:rFonts w:ascii="Arial" w:eastAsia="Times New Roman" w:hAnsi="Arial" w:cs="Arial"/>
                <w:color w:val="1B1B1B"/>
                <w:kern w:val="0"/>
              </w:rPr>
              <w:t>5</w:t>
            </w:r>
          </w:p>
        </w:tc>
        <w:tc>
          <w:tcPr>
            <w:tcW w:w="1838" w:type="dxa"/>
            <w:tcBorders>
              <w:top w:val="nil"/>
              <w:left w:val="nil"/>
              <w:bottom w:val="single" w:sz="8" w:space="0" w:color="A9AEB1"/>
              <w:right w:val="single" w:sz="8" w:space="0" w:color="A9AEB1"/>
            </w:tcBorders>
            <w:shd w:val="clear" w:color="000000" w:fill="FFFFFF"/>
            <w:vAlign w:val="center"/>
            <w:hideMark/>
          </w:tcPr>
          <w:p w:rsidR="005A10F2" w:rsidRPr="00C9213B" w:rsidRDefault="005A10F2" w:rsidP="00A71E06">
            <w:pPr>
              <w:widowControl/>
              <w:overflowPunct/>
              <w:autoSpaceDE/>
              <w:autoSpaceDN/>
              <w:adjustRightInd/>
              <w:jc w:val="center"/>
              <w:rPr>
                <w:rFonts w:ascii="Arial" w:eastAsia="Times New Roman" w:hAnsi="Arial" w:cs="Arial"/>
                <w:color w:val="1B1B1B"/>
                <w:kern w:val="0"/>
              </w:rPr>
            </w:pPr>
            <w:r w:rsidRPr="00C9213B">
              <w:rPr>
                <w:rFonts w:ascii="Arial" w:eastAsia="Times New Roman" w:hAnsi="Arial" w:cs="Arial"/>
                <w:color w:val="1B1B1B"/>
                <w:kern w:val="0"/>
              </w:rPr>
              <w:t>$</w:t>
            </w:r>
            <w:r w:rsidR="00263946">
              <w:rPr>
                <w:rFonts w:ascii="Arial" w:eastAsia="Times New Roman" w:hAnsi="Arial" w:cs="Arial"/>
                <w:color w:val="1B1B1B"/>
                <w:kern w:val="0"/>
              </w:rPr>
              <w:t>615</w:t>
            </w:r>
          </w:p>
        </w:tc>
      </w:tr>
      <w:tr w:rsidR="005A10F2" w:rsidRPr="00C9213B" w:rsidTr="00A71E06">
        <w:trPr>
          <w:trHeight w:val="315"/>
        </w:trPr>
        <w:tc>
          <w:tcPr>
            <w:tcW w:w="1544" w:type="dxa"/>
            <w:tcBorders>
              <w:top w:val="nil"/>
              <w:left w:val="single" w:sz="8" w:space="0" w:color="A9AEB1"/>
              <w:bottom w:val="single" w:sz="8" w:space="0" w:color="A9AEB1"/>
              <w:right w:val="single" w:sz="8" w:space="0" w:color="A9AEB1"/>
            </w:tcBorders>
            <w:shd w:val="clear" w:color="000000" w:fill="F0F0F0"/>
            <w:vAlign w:val="center"/>
            <w:hideMark/>
          </w:tcPr>
          <w:p w:rsidR="005A10F2" w:rsidRPr="00C9213B" w:rsidRDefault="005A10F2" w:rsidP="00A71E06">
            <w:pPr>
              <w:widowControl/>
              <w:overflowPunct/>
              <w:autoSpaceDE/>
              <w:autoSpaceDN/>
              <w:adjustRightInd/>
              <w:jc w:val="center"/>
              <w:rPr>
                <w:rFonts w:ascii="Arial" w:eastAsia="Times New Roman" w:hAnsi="Arial" w:cs="Arial"/>
                <w:color w:val="1B1B1B"/>
                <w:kern w:val="0"/>
              </w:rPr>
            </w:pPr>
            <w:r w:rsidRPr="00C9213B">
              <w:rPr>
                <w:rFonts w:ascii="Arial" w:eastAsia="Times New Roman" w:hAnsi="Arial" w:cs="Arial"/>
                <w:color w:val="1B1B1B"/>
                <w:kern w:val="0"/>
              </w:rPr>
              <w:t>6</w:t>
            </w:r>
          </w:p>
        </w:tc>
        <w:tc>
          <w:tcPr>
            <w:tcW w:w="1838" w:type="dxa"/>
            <w:tcBorders>
              <w:top w:val="nil"/>
              <w:left w:val="nil"/>
              <w:bottom w:val="single" w:sz="8" w:space="0" w:color="A9AEB1"/>
              <w:right w:val="single" w:sz="8" w:space="0" w:color="A9AEB1"/>
            </w:tcBorders>
            <w:shd w:val="clear" w:color="000000" w:fill="F0F0F0"/>
            <w:vAlign w:val="center"/>
            <w:hideMark/>
          </w:tcPr>
          <w:p w:rsidR="005A10F2" w:rsidRPr="00C9213B" w:rsidRDefault="005A10F2" w:rsidP="00A71E06">
            <w:pPr>
              <w:widowControl/>
              <w:overflowPunct/>
              <w:autoSpaceDE/>
              <w:autoSpaceDN/>
              <w:adjustRightInd/>
              <w:jc w:val="center"/>
              <w:rPr>
                <w:rFonts w:ascii="Arial" w:eastAsia="Times New Roman" w:hAnsi="Arial" w:cs="Arial"/>
                <w:color w:val="1B1B1B"/>
                <w:kern w:val="0"/>
              </w:rPr>
            </w:pPr>
            <w:r w:rsidRPr="00C9213B">
              <w:rPr>
                <w:rFonts w:ascii="Arial" w:eastAsia="Times New Roman" w:hAnsi="Arial" w:cs="Arial"/>
                <w:color w:val="1B1B1B"/>
                <w:kern w:val="0"/>
              </w:rPr>
              <w:t>$</w:t>
            </w:r>
            <w:r w:rsidR="00263946">
              <w:rPr>
                <w:rFonts w:ascii="Arial" w:eastAsia="Times New Roman" w:hAnsi="Arial" w:cs="Arial"/>
                <w:color w:val="1B1B1B"/>
                <w:kern w:val="0"/>
              </w:rPr>
              <w:t>705</w:t>
            </w:r>
          </w:p>
        </w:tc>
      </w:tr>
      <w:bookmarkEnd w:id="0"/>
    </w:tbl>
    <w:p w:rsidR="00371753" w:rsidRDefault="00371753" w:rsidP="000B37FD">
      <w:pPr>
        <w:rPr>
          <w:sz w:val="24"/>
          <w:szCs w:val="24"/>
        </w:rPr>
      </w:pPr>
    </w:p>
    <w:p w:rsidR="00C638B2" w:rsidRDefault="00C638B2" w:rsidP="000B37FD">
      <w:pPr>
        <w:rPr>
          <w:sz w:val="24"/>
          <w:szCs w:val="24"/>
        </w:rPr>
      </w:pPr>
    </w:p>
    <w:p w:rsidR="00371753" w:rsidRDefault="00371753" w:rsidP="000B37FD">
      <w:pPr>
        <w:rPr>
          <w:sz w:val="24"/>
          <w:szCs w:val="24"/>
        </w:rPr>
      </w:pPr>
    </w:p>
    <w:p w:rsidR="00371753" w:rsidRDefault="00371753"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263946" w:rsidRDefault="00263946"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8319C" w:rsidRDefault="0038319C" w:rsidP="00353E5D">
      <w:pPr>
        <w:rPr>
          <w:sz w:val="24"/>
          <w:szCs w:val="24"/>
        </w:rPr>
      </w:pPr>
    </w:p>
    <w:p w:rsidR="00263946" w:rsidRDefault="00263946" w:rsidP="00353E5D">
      <w:pPr>
        <w:rPr>
          <w:rFonts w:ascii="Verdana" w:hAnsi="Verdana"/>
          <w:b/>
          <w:bCs/>
          <w:sz w:val="24"/>
          <w:szCs w:val="24"/>
          <w:u w:val="single"/>
        </w:rPr>
      </w:pPr>
    </w:p>
    <w:p w:rsidR="00263946" w:rsidRDefault="00263946" w:rsidP="00353E5D">
      <w:pPr>
        <w:rPr>
          <w:rFonts w:ascii="Verdana" w:hAnsi="Verdana"/>
          <w:b/>
          <w:bCs/>
          <w:sz w:val="24"/>
          <w:szCs w:val="24"/>
          <w:u w:val="single"/>
        </w:rPr>
      </w:pPr>
    </w:p>
    <w:p w:rsidR="00263946" w:rsidRDefault="00263946" w:rsidP="00353E5D">
      <w:pPr>
        <w:rPr>
          <w:rFonts w:ascii="Verdana" w:hAnsi="Verdana"/>
          <w:b/>
          <w:bCs/>
          <w:sz w:val="24"/>
          <w:szCs w:val="24"/>
          <w:u w:val="single"/>
        </w:rPr>
      </w:pPr>
    </w:p>
    <w:p w:rsidR="00263946" w:rsidRDefault="00263946" w:rsidP="00353E5D">
      <w:pPr>
        <w:rPr>
          <w:rFonts w:ascii="Verdana" w:hAnsi="Verdana"/>
          <w:b/>
          <w:bCs/>
          <w:sz w:val="24"/>
          <w:szCs w:val="24"/>
          <w:u w:val="single"/>
        </w:rPr>
      </w:pPr>
    </w:p>
    <w:p w:rsidR="00263946" w:rsidRDefault="00263946" w:rsidP="00353E5D">
      <w:pPr>
        <w:rPr>
          <w:rFonts w:ascii="Verdana" w:hAnsi="Verdana"/>
          <w:b/>
          <w:bCs/>
          <w:sz w:val="24"/>
          <w:szCs w:val="24"/>
          <w:u w:val="single"/>
        </w:rPr>
      </w:pPr>
    </w:p>
    <w:p w:rsidR="00353E5D" w:rsidRPr="00353E5D" w:rsidRDefault="00353E5D" w:rsidP="00353E5D">
      <w:pPr>
        <w:rPr>
          <w:rFonts w:ascii="Verdana" w:hAnsi="Verdana"/>
          <w:sz w:val="24"/>
          <w:szCs w:val="24"/>
          <w:u w:val="single"/>
        </w:rPr>
      </w:pPr>
      <w:r w:rsidRPr="00353E5D">
        <w:rPr>
          <w:rFonts w:ascii="Verdana" w:hAnsi="Verdana"/>
          <w:b/>
          <w:bCs/>
          <w:sz w:val="24"/>
          <w:szCs w:val="24"/>
          <w:u w:val="single"/>
        </w:rPr>
        <w:t>LEGAL BASE</w:t>
      </w:r>
    </w:p>
    <w:p w:rsidR="00353E5D" w:rsidRDefault="00353E5D" w:rsidP="00353E5D">
      <w:pPr>
        <w:rPr>
          <w:sz w:val="24"/>
          <w:szCs w:val="24"/>
        </w:rPr>
      </w:pPr>
    </w:p>
    <w:p w:rsidR="00353E5D" w:rsidRDefault="00353E5D" w:rsidP="00353E5D">
      <w:pPr>
        <w:rPr>
          <w:sz w:val="24"/>
          <w:szCs w:val="24"/>
        </w:rPr>
      </w:pPr>
      <w:r>
        <w:rPr>
          <w:sz w:val="24"/>
          <w:szCs w:val="24"/>
        </w:rPr>
        <w:t>The County Indigent Health Care Program (CIHCP) was mandated by the 1985 Indigent Health Care and Treatment Act and is contained in subtitle C, chapter 61, of the Texas Health and Safety Code.  The TDSHS is legally mandated to establish program rules and administer the CIHCP state assistance fund.  House Bill 1398, passed in 1999, made the first major changes to this program.</w:t>
      </w:r>
    </w:p>
    <w:p w:rsidR="00353E5D" w:rsidRDefault="00353E5D" w:rsidP="00353E5D">
      <w:pPr>
        <w:rPr>
          <w:sz w:val="24"/>
          <w:szCs w:val="24"/>
        </w:rPr>
      </w:pPr>
    </w:p>
    <w:p w:rsidR="00353E5D" w:rsidRDefault="00353E5D" w:rsidP="00353E5D">
      <w:pPr>
        <w:rPr>
          <w:sz w:val="24"/>
          <w:szCs w:val="24"/>
        </w:rPr>
      </w:pPr>
      <w:r>
        <w:rPr>
          <w:sz w:val="24"/>
          <w:szCs w:val="24"/>
        </w:rPr>
        <w:t>CIHCP administration is solely the responsibility of county government.  County residents apply at the location designated by the county.  Local program administration often results in significant differences between delivery systems.</w:t>
      </w: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53E5D" w:rsidRDefault="00353E5D"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0B37FD">
      <w:pPr>
        <w:rPr>
          <w:sz w:val="24"/>
          <w:szCs w:val="24"/>
        </w:rPr>
      </w:pPr>
    </w:p>
    <w:p w:rsidR="00371753" w:rsidRDefault="00371753" w:rsidP="00371753">
      <w:pPr>
        <w:rPr>
          <w:sz w:val="40"/>
          <w:szCs w:val="40"/>
        </w:rPr>
      </w:pPr>
    </w:p>
    <w:p w:rsidR="0038319C" w:rsidRDefault="0038319C" w:rsidP="00371753">
      <w:pPr>
        <w:rPr>
          <w:sz w:val="40"/>
          <w:szCs w:val="40"/>
        </w:rPr>
      </w:pPr>
    </w:p>
    <w:p w:rsidR="00371753" w:rsidRDefault="00263946" w:rsidP="00371753">
      <w:pPr>
        <w:jc w:val="center"/>
        <w:rPr>
          <w:sz w:val="40"/>
          <w:szCs w:val="40"/>
        </w:rPr>
      </w:pPr>
      <w:hyperlink r:id="rId4" w:history="1">
        <w:r w:rsidR="00371753">
          <w:rPr>
            <w:i/>
            <w:iCs/>
            <w:color w:val="000000"/>
          </w:rPr>
          <w:fldChar w:fldCharType="begin"/>
        </w:r>
        <w:r w:rsidR="00371753">
          <w:rPr>
            <w:i/>
            <w:iCs/>
            <w:color w:val="000000"/>
          </w:rPr>
          <w:instrText xml:space="preserve"> INCLUDEPICTURE  "cid:image001.jpg@01D8437E.FB1E31F0" \* MERGEFORMATINET </w:instrText>
        </w:r>
        <w:r w:rsidR="00371753">
          <w:rPr>
            <w:i/>
            <w:iCs/>
            <w:color w:val="000000"/>
          </w:rPr>
          <w:fldChar w:fldCharType="separate"/>
        </w:r>
        <w:r w:rsidR="00C63D99">
          <w:rPr>
            <w:i/>
            <w:iCs/>
            <w:color w:val="000000"/>
          </w:rPr>
          <w:fldChar w:fldCharType="begin"/>
        </w:r>
        <w:r w:rsidR="00C63D99">
          <w:rPr>
            <w:i/>
            <w:iCs/>
            <w:color w:val="000000"/>
          </w:rPr>
          <w:instrText xml:space="preserve"> INCLUDEPICTURE  "cid:image001.jpg@01D8437E.FB1E31F0" \* MERGEFORMATINET </w:instrText>
        </w:r>
        <w:r w:rsidR="00C63D99">
          <w:rPr>
            <w:i/>
            <w:iCs/>
            <w:color w:val="000000"/>
          </w:rPr>
          <w:fldChar w:fldCharType="separate"/>
        </w:r>
        <w:r w:rsidR="00572A57">
          <w:rPr>
            <w:i/>
            <w:iCs/>
            <w:color w:val="000000"/>
          </w:rPr>
          <w:fldChar w:fldCharType="begin"/>
        </w:r>
        <w:r w:rsidR="00572A57">
          <w:rPr>
            <w:i/>
            <w:iCs/>
            <w:color w:val="000000"/>
          </w:rPr>
          <w:instrText xml:space="preserve"> INCLUDEPICTURE  "cid:image001.jpg@01D8437E.FB1E31F0" \* MERGEFORMATINET </w:instrText>
        </w:r>
        <w:r w:rsidR="00572A57">
          <w:rPr>
            <w:i/>
            <w:iCs/>
            <w:color w:val="000000"/>
          </w:rPr>
          <w:fldChar w:fldCharType="separate"/>
        </w:r>
        <w:r w:rsidR="00BA3E9E">
          <w:rPr>
            <w:i/>
            <w:iCs/>
            <w:color w:val="000000"/>
          </w:rPr>
          <w:fldChar w:fldCharType="begin"/>
        </w:r>
        <w:r w:rsidR="00BA3E9E">
          <w:rPr>
            <w:i/>
            <w:iCs/>
            <w:color w:val="000000"/>
          </w:rPr>
          <w:instrText xml:space="preserve"> INCLUDEPICTURE  "cid:image001.jpg@01D8437E.FB1E31F0" \* MERGEFORMATINET </w:instrText>
        </w:r>
        <w:r w:rsidR="00BA3E9E">
          <w:rPr>
            <w:i/>
            <w:iCs/>
            <w:color w:val="000000"/>
          </w:rPr>
          <w:fldChar w:fldCharType="separate"/>
        </w:r>
        <w:r w:rsidR="00A71E06">
          <w:rPr>
            <w:i/>
            <w:iCs/>
            <w:color w:val="000000"/>
          </w:rPr>
          <w:fldChar w:fldCharType="begin"/>
        </w:r>
        <w:r w:rsidR="00A71E06">
          <w:rPr>
            <w:i/>
            <w:iCs/>
            <w:color w:val="000000"/>
          </w:rPr>
          <w:instrText xml:space="preserve"> INCLUDEPICTURE  "cid:image001.jpg@01D8437E.FB1E31F0" \* MERGEFORMATINET </w:instrText>
        </w:r>
        <w:r w:rsidR="00A71E06">
          <w:rPr>
            <w:i/>
            <w:iCs/>
            <w:color w:val="000000"/>
          </w:rPr>
          <w:fldChar w:fldCharType="separate"/>
        </w:r>
        <w:r w:rsidR="00095F4D">
          <w:rPr>
            <w:i/>
            <w:iCs/>
            <w:color w:val="000000"/>
          </w:rPr>
          <w:fldChar w:fldCharType="begin"/>
        </w:r>
        <w:r w:rsidR="00095F4D">
          <w:rPr>
            <w:i/>
            <w:iCs/>
            <w:color w:val="000000"/>
          </w:rPr>
          <w:instrText xml:space="preserve"> INCLUDEPICTURE  "cid:image001.jpg@01D8437E.FB1E31F0" \* MERGEFORMATINET </w:instrText>
        </w:r>
        <w:r w:rsidR="00095F4D">
          <w:rPr>
            <w:i/>
            <w:iCs/>
            <w:color w:val="000000"/>
          </w:rPr>
          <w:fldChar w:fldCharType="separate"/>
        </w:r>
        <w:r>
          <w:rPr>
            <w:i/>
            <w:iCs/>
            <w:color w:val="000000"/>
          </w:rPr>
          <w:fldChar w:fldCharType="begin"/>
        </w:r>
        <w:r>
          <w:rPr>
            <w:i/>
            <w:iCs/>
            <w:color w:val="000000"/>
          </w:rPr>
          <w:instrText xml:space="preserve"> </w:instrText>
        </w:r>
        <w:r>
          <w:rPr>
            <w:i/>
            <w:iCs/>
            <w:color w:val="000000"/>
          </w:rPr>
          <w:instrText>INCLUDEPICTURE  "cid:image001.jpg@01D8437E.FB1E31F0" \* MERGEFORMATINET</w:instrText>
        </w:r>
        <w:r>
          <w:rPr>
            <w:i/>
            <w:iCs/>
            <w:color w:val="000000"/>
          </w:rPr>
          <w:instrText xml:space="preserve"> </w:instrText>
        </w:r>
        <w:r>
          <w:rPr>
            <w:i/>
            <w:iCs/>
            <w:color w:val="000000"/>
          </w:rPr>
          <w:fldChar w:fldCharType="separate"/>
        </w:r>
        <w:r>
          <w:rPr>
            <w:i/>
            <w:i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21.6pt;height:125pt">
              <v:imagedata r:id="rId5" r:href="rId6"/>
            </v:shape>
          </w:pict>
        </w:r>
        <w:r>
          <w:rPr>
            <w:i/>
            <w:iCs/>
            <w:color w:val="000000"/>
          </w:rPr>
          <w:fldChar w:fldCharType="end"/>
        </w:r>
        <w:r w:rsidR="00095F4D">
          <w:rPr>
            <w:i/>
            <w:iCs/>
            <w:color w:val="000000"/>
          </w:rPr>
          <w:fldChar w:fldCharType="end"/>
        </w:r>
        <w:r w:rsidR="00A71E06">
          <w:rPr>
            <w:i/>
            <w:iCs/>
            <w:color w:val="000000"/>
          </w:rPr>
          <w:fldChar w:fldCharType="end"/>
        </w:r>
        <w:r w:rsidR="00BA3E9E">
          <w:rPr>
            <w:i/>
            <w:iCs/>
            <w:color w:val="000000"/>
          </w:rPr>
          <w:fldChar w:fldCharType="end"/>
        </w:r>
        <w:r w:rsidR="00572A57">
          <w:rPr>
            <w:i/>
            <w:iCs/>
            <w:color w:val="000000"/>
          </w:rPr>
          <w:fldChar w:fldCharType="end"/>
        </w:r>
        <w:r w:rsidR="00C63D99">
          <w:rPr>
            <w:i/>
            <w:iCs/>
            <w:color w:val="000000"/>
          </w:rPr>
          <w:fldChar w:fldCharType="end"/>
        </w:r>
        <w:r w:rsidR="00371753">
          <w:rPr>
            <w:i/>
            <w:iCs/>
            <w:color w:val="000000"/>
          </w:rPr>
          <w:fldChar w:fldCharType="end"/>
        </w:r>
      </w:hyperlink>
    </w:p>
    <w:p w:rsidR="00353E5D" w:rsidRDefault="00353E5D" w:rsidP="00371753">
      <w:pPr>
        <w:jc w:val="center"/>
        <w:rPr>
          <w:rFonts w:ascii="CG Times (W1)" w:hAnsi="CG Times (W1)" w:cs="CG Times (W1)"/>
          <w:b/>
          <w:bCs/>
          <w:sz w:val="44"/>
          <w:szCs w:val="44"/>
        </w:rPr>
      </w:pPr>
    </w:p>
    <w:p w:rsidR="00353E5D" w:rsidRDefault="00353E5D" w:rsidP="00371753">
      <w:pPr>
        <w:jc w:val="center"/>
        <w:rPr>
          <w:rFonts w:ascii="CG Times (W1)" w:hAnsi="CG Times (W1)" w:cs="CG Times (W1)"/>
          <w:b/>
          <w:bCs/>
          <w:sz w:val="44"/>
          <w:szCs w:val="44"/>
        </w:rPr>
      </w:pPr>
    </w:p>
    <w:p w:rsidR="00353E5D" w:rsidRDefault="00353E5D" w:rsidP="00371753">
      <w:pPr>
        <w:jc w:val="center"/>
        <w:rPr>
          <w:rFonts w:ascii="CG Times (W1)" w:hAnsi="CG Times (W1)" w:cs="CG Times (W1)"/>
          <w:b/>
          <w:bCs/>
          <w:sz w:val="44"/>
          <w:szCs w:val="44"/>
        </w:rPr>
      </w:pPr>
    </w:p>
    <w:p w:rsidR="00371753" w:rsidRPr="00C9213B" w:rsidRDefault="00371753" w:rsidP="00371753">
      <w:pPr>
        <w:jc w:val="center"/>
        <w:rPr>
          <w:rFonts w:ascii="CG Times (W1)" w:hAnsi="CG Times (W1)" w:cs="CG Times (W1)"/>
          <w:b/>
          <w:bCs/>
          <w:sz w:val="44"/>
          <w:szCs w:val="44"/>
        </w:rPr>
      </w:pPr>
      <w:r w:rsidRPr="00C9213B">
        <w:rPr>
          <w:rFonts w:ascii="CG Times (W1)" w:hAnsi="CG Times (W1)" w:cs="CG Times (W1)"/>
          <w:b/>
          <w:bCs/>
          <w:sz w:val="44"/>
          <w:szCs w:val="44"/>
        </w:rPr>
        <w:t>BASTROP COUNTY</w:t>
      </w:r>
    </w:p>
    <w:p w:rsidR="00371753" w:rsidRPr="00C9213B" w:rsidRDefault="00371753" w:rsidP="00371753">
      <w:pPr>
        <w:pStyle w:val="NoSpacing"/>
        <w:jc w:val="center"/>
        <w:rPr>
          <w:sz w:val="40"/>
          <w:szCs w:val="40"/>
        </w:rPr>
      </w:pPr>
      <w:r w:rsidRPr="00C9213B">
        <w:rPr>
          <w:sz w:val="40"/>
          <w:szCs w:val="40"/>
        </w:rPr>
        <w:t>INDIGENT HEALTH CARE PROGRAM</w:t>
      </w:r>
    </w:p>
    <w:p w:rsidR="00371753" w:rsidRPr="00C9213B" w:rsidRDefault="00371753" w:rsidP="00371753">
      <w:pPr>
        <w:pStyle w:val="NoSpacing"/>
        <w:jc w:val="center"/>
        <w:rPr>
          <w:sz w:val="40"/>
          <w:szCs w:val="40"/>
        </w:rPr>
      </w:pPr>
      <w:r w:rsidRPr="00C9213B">
        <w:rPr>
          <w:sz w:val="40"/>
          <w:szCs w:val="40"/>
        </w:rPr>
        <w:t>(CIHCP)</w:t>
      </w:r>
    </w:p>
    <w:p w:rsidR="00371753" w:rsidRDefault="00371753" w:rsidP="000B37FD">
      <w:pPr>
        <w:rPr>
          <w:sz w:val="24"/>
          <w:szCs w:val="24"/>
        </w:rPr>
      </w:pPr>
    </w:p>
    <w:p w:rsidR="00371753" w:rsidRPr="000B37FD" w:rsidRDefault="00371753" w:rsidP="000B37FD">
      <w:pPr>
        <w:rPr>
          <w:sz w:val="24"/>
          <w:szCs w:val="24"/>
        </w:rPr>
      </w:pPr>
    </w:p>
    <w:sectPr w:rsidR="00371753" w:rsidRPr="000B37FD" w:rsidSect="000B37FD">
      <w:pgSz w:w="15840" w:h="12240" w:orient="landscape"/>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FD"/>
    <w:rsid w:val="000842AC"/>
    <w:rsid w:val="00095F4D"/>
    <w:rsid w:val="000B1DA1"/>
    <w:rsid w:val="000B37FD"/>
    <w:rsid w:val="00263946"/>
    <w:rsid w:val="00353E5D"/>
    <w:rsid w:val="00371753"/>
    <w:rsid w:val="0038319C"/>
    <w:rsid w:val="00572A57"/>
    <w:rsid w:val="005A10F2"/>
    <w:rsid w:val="0087532F"/>
    <w:rsid w:val="009E3E82"/>
    <w:rsid w:val="00A227B5"/>
    <w:rsid w:val="00A71E06"/>
    <w:rsid w:val="00BA3E9E"/>
    <w:rsid w:val="00C638B2"/>
    <w:rsid w:val="00C63D99"/>
    <w:rsid w:val="00F86CA0"/>
    <w:rsid w:val="00F9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A095A"/>
  <w15:chartTrackingRefBased/>
  <w15:docId w15:val="{8E04A1CF-D912-45BE-B80B-2EB1AE60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FD"/>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71753"/>
    <w:rPr>
      <w:b/>
      <w:bCs/>
    </w:rPr>
  </w:style>
  <w:style w:type="paragraph" w:styleId="NoSpacing">
    <w:name w:val="No Spacing"/>
    <w:uiPriority w:val="1"/>
    <w:qFormat/>
    <w:rsid w:val="0037175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37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53"/>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17510">
      <w:bodyDiv w:val="1"/>
      <w:marLeft w:val="0"/>
      <w:marRight w:val="0"/>
      <w:marTop w:val="0"/>
      <w:marBottom w:val="0"/>
      <w:divBdr>
        <w:top w:val="none" w:sz="0" w:space="0" w:color="auto"/>
        <w:left w:val="none" w:sz="0" w:space="0" w:color="auto"/>
        <w:bottom w:val="none" w:sz="0" w:space="0" w:color="auto"/>
        <w:right w:val="none" w:sz="0" w:space="0" w:color="auto"/>
      </w:divBdr>
    </w:div>
    <w:div w:id="721245961">
      <w:bodyDiv w:val="1"/>
      <w:marLeft w:val="0"/>
      <w:marRight w:val="0"/>
      <w:marTop w:val="0"/>
      <w:marBottom w:val="0"/>
      <w:divBdr>
        <w:top w:val="none" w:sz="0" w:space="0" w:color="auto"/>
        <w:left w:val="none" w:sz="0" w:space="0" w:color="auto"/>
        <w:bottom w:val="none" w:sz="0" w:space="0" w:color="auto"/>
        <w:right w:val="none" w:sz="0" w:space="0" w:color="auto"/>
      </w:divBdr>
    </w:div>
    <w:div w:id="1031996721">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437E.FB1E31F0" TargetMode="External"/><Relationship Id="rId5" Type="http://schemas.openxmlformats.org/officeDocument/2006/relationships/image" Target="media/image1.jpeg"/><Relationship Id="rId4" Type="http://schemas.openxmlformats.org/officeDocument/2006/relationships/hyperlink" Target="http://www.co.bastrop.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Rinehart</dc:creator>
  <cp:keywords/>
  <dc:description/>
  <cp:lastModifiedBy>Lisa Rinehart</cp:lastModifiedBy>
  <cp:revision>7</cp:revision>
  <cp:lastPrinted>2023-05-02T20:55:00Z</cp:lastPrinted>
  <dcterms:created xsi:type="dcterms:W3CDTF">2022-03-30T20:05:00Z</dcterms:created>
  <dcterms:modified xsi:type="dcterms:W3CDTF">2023-05-02T20:56:00Z</dcterms:modified>
</cp:coreProperties>
</file>