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u w:val="single"/>
          <w:lang w:val="es-ES"/>
        </w:rPr>
        <w:t>ELEGIBILIDAD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</w:rPr>
        <w:t> 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 xml:space="preserve">Los factores de elegibilidad incluyen la residencia del condado, la composición del hogar, los ingresos y los recursos. Una persona (s) elegible para </w:t>
      </w:r>
      <w:proofErr w:type="spellStart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Medicaid</w:t>
      </w:r>
      <w:proofErr w:type="spellEnd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 xml:space="preserve"> o paciente (s) y recluso (s) de hospitales o instituciones estatales o federales son miembros del hogar descalificados. Un hogar CIHCP consiste en todas las personas que viven juntas que son legalmente responsables de la manutención (cónyuges, padres e hijos menores).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</w:rPr>
        <w:t> 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Los criterios de ingresos y recursos para un hogar del CIHCP se basan en los utilizados en el programa de Asistencia Temporal para Familias Necesitadas (TANF). El ingreso generalmente no excede aproximadamente el 21% de los Límites Federales de Ingresos por Pobreza (FPIL) y los recursos contables no pueden exceder los $3,000 si un pariente de edad o discapacitado vive con el hogar del CIHCP, o $2,000 para todos los demás hogares. Las granjas están exentas. El valor justo de mercado de $4,650 de cada vehículo está exento.</w:t>
      </w:r>
    </w:p>
    <w:p w:rsidR="000B37FD" w:rsidRDefault="000B37FD" w:rsidP="000B37FD">
      <w:pPr>
        <w:rPr>
          <w:b/>
          <w:sz w:val="24"/>
          <w:szCs w:val="24"/>
          <w:u w:val="single"/>
        </w:rPr>
      </w:pPr>
    </w:p>
    <w:p w:rsidR="00371753" w:rsidRDefault="00371753" w:rsidP="000B37FD">
      <w:pPr>
        <w:rPr>
          <w:b/>
          <w:sz w:val="24"/>
          <w:szCs w:val="24"/>
          <w:u w:val="single"/>
        </w:rPr>
      </w:pPr>
    </w:p>
    <w:p w:rsidR="00371753" w:rsidRPr="000B37FD" w:rsidRDefault="00371753" w:rsidP="000B37FD">
      <w:pPr>
        <w:rPr>
          <w:b/>
          <w:sz w:val="24"/>
          <w:szCs w:val="24"/>
          <w:u w:val="single"/>
        </w:rPr>
      </w:pP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u w:val="single"/>
          <w:lang w:val="es-ES"/>
        </w:rPr>
        <w:br/>
        <w:t>SERVICIOS BÁSICOS DE ATENCIÓN DE LA SALUD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</w:rPr>
        <w:t> 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lang w:val="es-ES"/>
        </w:rPr>
      </w:pPr>
      <w:r w:rsidRPr="00B122AD">
        <w:rPr>
          <w:rFonts w:eastAsia="Times New Roman"/>
          <w:b/>
          <w:bCs/>
          <w:color w:val="000000"/>
          <w:kern w:val="0"/>
          <w:sz w:val="22"/>
          <w:szCs w:val="22"/>
          <w:u w:val="single"/>
          <w:lang w:val="es-ES"/>
        </w:rPr>
        <w:t>SERVICIOS MÉDICOS:</w:t>
      </w: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 Incluyen servicios ordenados por un médico que están dentro del alcance de la práctica de su profesión según lo definido por la ley estatal.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b/>
          <w:bCs/>
          <w:color w:val="000000"/>
          <w:kern w:val="0"/>
          <w:sz w:val="22"/>
          <w:szCs w:val="22"/>
          <w:u w:val="single"/>
          <w:lang w:val="es-ES"/>
        </w:rPr>
        <w:t>EXÁMENES FÍSICOS ANUALES:</w:t>
      </w: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 xml:space="preserve"> Incluyen exámenes proporcionados una vez al año calendario por un médico o un asistente médico. Las pruebas asociadas, como las </w:t>
      </w: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mamografías, se pueden cubrir con una referencia médica.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lang w:val="es-ES"/>
        </w:rPr>
      </w:pPr>
      <w:r w:rsidRPr="00B122AD">
        <w:rPr>
          <w:rFonts w:eastAsia="Times New Roman"/>
          <w:b/>
          <w:bCs/>
          <w:color w:val="000000"/>
          <w:kern w:val="0"/>
          <w:sz w:val="22"/>
          <w:szCs w:val="22"/>
          <w:u w:val="single"/>
          <w:lang w:val="es-ES"/>
        </w:rPr>
        <w:t>INMUNIZACIONES:</w:t>
      </w: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 Administradas cuando sea apropiado.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b/>
          <w:bCs/>
          <w:color w:val="000000"/>
          <w:kern w:val="0"/>
          <w:sz w:val="22"/>
          <w:szCs w:val="22"/>
        </w:rPr>
        <w:t> 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b/>
          <w:bCs/>
          <w:color w:val="000000"/>
          <w:kern w:val="0"/>
          <w:sz w:val="22"/>
          <w:szCs w:val="22"/>
        </w:rPr>
        <w:t> </w:t>
      </w:r>
    </w:p>
    <w:p w:rsidR="00B122AD" w:rsidRPr="00B122AD" w:rsidRDefault="00B122AD" w:rsidP="00B122AD">
      <w:pPr>
        <w:widowControl/>
        <w:shd w:val="clear" w:color="auto" w:fill="F0F0A0"/>
        <w:overflowPunct/>
        <w:autoSpaceDE/>
        <w:autoSpaceDN/>
        <w:adjustRightInd/>
        <w:rPr>
          <w:rFonts w:eastAsia="Times New Roman"/>
          <w:color w:val="0F0F5F"/>
          <w:kern w:val="0"/>
          <w:lang w:val="es-ES"/>
        </w:rPr>
      </w:pPr>
      <w:r w:rsidRPr="00B122AD">
        <w:rPr>
          <w:rFonts w:eastAsia="Times New Roman"/>
          <w:b/>
          <w:bCs/>
          <w:color w:val="0F0F5F"/>
          <w:kern w:val="0"/>
          <w:sz w:val="22"/>
          <w:szCs w:val="22"/>
          <w:u w:val="single"/>
          <w:lang w:val="es-ES"/>
        </w:rPr>
        <w:t>EXÁMENES MÉDICOS:</w:t>
      </w:r>
      <w:r w:rsidRPr="00B122AD">
        <w:rPr>
          <w:rFonts w:eastAsia="Times New Roman"/>
          <w:color w:val="0F0F5F"/>
          <w:kern w:val="0"/>
          <w:sz w:val="24"/>
          <w:szCs w:val="24"/>
          <w:lang w:val="es-ES"/>
        </w:rPr>
        <w:t> Los exámenes incluyen presión arterial, azúcar en la sangre y colesterol.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lang w:val="es-ES"/>
        </w:rPr>
      </w:pPr>
      <w:r w:rsidRPr="00B122AD">
        <w:rPr>
          <w:rFonts w:eastAsia="Times New Roman"/>
          <w:b/>
          <w:bCs/>
          <w:color w:val="000000"/>
          <w:kern w:val="0"/>
          <w:sz w:val="22"/>
          <w:szCs w:val="22"/>
          <w:u w:val="single"/>
          <w:lang w:val="es-ES"/>
        </w:rPr>
        <w:t>SERVICIOS DE LABORATORIO Y RAYOS X: Servicios</w:t>
      </w: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 técnicos profesionales ordenados y proporcionados bajo la supervisión personal de un médico en un entorno que no sea un hospital (paciente hospitalizado o ambulatorio).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b/>
          <w:bCs/>
          <w:color w:val="000000"/>
          <w:kern w:val="0"/>
          <w:sz w:val="22"/>
          <w:szCs w:val="22"/>
          <w:u w:val="single"/>
          <w:lang w:val="es-ES"/>
        </w:rPr>
        <w:t>RECETAS:</w:t>
      </w: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 xml:space="preserve"> 3 recetas al mes proporcionar. Los clientes deben registrarse en </w:t>
      </w:r>
      <w:proofErr w:type="spellStart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bastrop</w:t>
      </w:r>
      <w:proofErr w:type="spellEnd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 xml:space="preserve"> "County/</w:t>
      </w:r>
      <w:proofErr w:type="spellStart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Seton</w:t>
      </w:r>
      <w:proofErr w:type="spellEnd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 xml:space="preserve"> </w:t>
      </w:r>
      <w:proofErr w:type="spellStart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Patient</w:t>
      </w:r>
      <w:proofErr w:type="spellEnd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 xml:space="preserve"> </w:t>
      </w:r>
      <w:proofErr w:type="spellStart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Prescription</w:t>
      </w:r>
      <w:proofErr w:type="spellEnd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 xml:space="preserve"> </w:t>
      </w:r>
      <w:proofErr w:type="spellStart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Assistance</w:t>
      </w:r>
      <w:proofErr w:type="spellEnd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 xml:space="preserve"> </w:t>
      </w:r>
      <w:proofErr w:type="spellStart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Program</w:t>
      </w:r>
      <w:proofErr w:type="spellEnd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" (</w:t>
      </w:r>
      <w:proofErr w:type="spellStart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Seton</w:t>
      </w:r>
      <w:proofErr w:type="spellEnd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 xml:space="preserve"> PPAP) para obtener medicamentos adicionales necesarios.</w:t>
      </w:r>
    </w:p>
    <w:p w:rsidR="00371753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lang w:val="es-ES"/>
        </w:rPr>
      </w:pPr>
      <w:r w:rsidRPr="00B122AD">
        <w:rPr>
          <w:rFonts w:eastAsia="Times New Roman"/>
          <w:b/>
          <w:bCs/>
          <w:color w:val="000000"/>
          <w:kern w:val="0"/>
          <w:sz w:val="22"/>
          <w:szCs w:val="22"/>
          <w:u w:val="single"/>
          <w:lang w:val="es-ES"/>
        </w:rPr>
        <w:t>CENTRO DE ENFERMERÍA ESPECIALIZADA</w:t>
      </w:r>
      <w:r w:rsidRPr="00B122AD">
        <w:rPr>
          <w:rFonts w:eastAsia="Times New Roman"/>
          <w:color w:val="000000"/>
          <w:kern w:val="0"/>
          <w:sz w:val="24"/>
          <w:szCs w:val="24"/>
          <w:u w:val="single"/>
          <w:lang w:val="es-ES"/>
        </w:rPr>
        <w:t>:</w:t>
      </w: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 Límite de servicios de 30 días o $30,000.00 por año fiscal, lo que ocurra primero.</w:t>
      </w:r>
    </w:p>
    <w:p w:rsidR="00371753" w:rsidRDefault="00371753" w:rsidP="000B37FD">
      <w:pPr>
        <w:rPr>
          <w:sz w:val="24"/>
          <w:szCs w:val="24"/>
        </w:rPr>
      </w:pPr>
    </w:p>
    <w:p w:rsidR="00371753" w:rsidRDefault="00371753" w:rsidP="000B37FD">
      <w:pPr>
        <w:rPr>
          <w:sz w:val="24"/>
          <w:szCs w:val="24"/>
        </w:rPr>
      </w:pPr>
    </w:p>
    <w:p w:rsidR="00B122AD" w:rsidRPr="00B122AD" w:rsidRDefault="00B122AD" w:rsidP="00B122AD">
      <w:pPr>
        <w:widowControl/>
        <w:overflowPunct/>
        <w:autoSpaceDE/>
        <w:autoSpaceDN/>
        <w:adjustRightInd/>
        <w:ind w:left="360" w:hanging="360"/>
        <w:rPr>
          <w:rFonts w:eastAsia="Times New Roman"/>
          <w:color w:val="000000"/>
          <w:kern w:val="0"/>
        </w:rPr>
      </w:pPr>
      <w:r w:rsidRPr="00B122AD"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u w:val="single"/>
          <w:lang w:val="es-ES"/>
        </w:rPr>
        <w:t>SERVICIOS OPCIONALES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ind w:left="360" w:hanging="360"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b/>
          <w:bCs/>
          <w:color w:val="000000"/>
          <w:kern w:val="0"/>
          <w:sz w:val="24"/>
          <w:szCs w:val="24"/>
        </w:rPr>
        <w:t> 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ind w:left="360" w:hanging="360"/>
        <w:rPr>
          <w:rFonts w:eastAsia="Times New Roman"/>
          <w:color w:val="000000"/>
          <w:kern w:val="0"/>
          <w:lang w:val="es-ES"/>
        </w:rPr>
      </w:pPr>
      <w:r w:rsidRPr="00B122AD">
        <w:rPr>
          <w:rFonts w:eastAsia="Times New Roman"/>
          <w:b/>
          <w:bCs/>
          <w:color w:val="000000"/>
          <w:kern w:val="0"/>
          <w:sz w:val="24"/>
          <w:szCs w:val="24"/>
          <w:u w:val="single"/>
          <w:lang w:val="es-ES"/>
        </w:rPr>
        <w:t>CUIDADO DE LOS OJOS:</w:t>
      </w:r>
      <w:r w:rsidRPr="00B122AD">
        <w:rPr>
          <w:rFonts w:eastAsia="Times New Roman"/>
          <w:b/>
          <w:bCs/>
          <w:color w:val="000000"/>
          <w:kern w:val="0"/>
          <w:sz w:val="24"/>
          <w:szCs w:val="24"/>
          <w:lang w:val="es-ES"/>
        </w:rPr>
        <w:t> </w:t>
      </w: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Un examen ocular gratuito y un par de anteojos gratis.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ind w:left="360" w:hanging="360"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b/>
          <w:bCs/>
          <w:color w:val="000000"/>
          <w:kern w:val="0"/>
          <w:sz w:val="24"/>
          <w:szCs w:val="24"/>
          <w:u w:val="single"/>
          <w:lang w:val="es-ES"/>
        </w:rPr>
        <w:t>ODONTÓLOGOS: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ind w:left="360" w:hanging="360"/>
        <w:rPr>
          <w:rFonts w:eastAsia="Times New Roman"/>
          <w:color w:val="000000"/>
          <w:kern w:val="0"/>
          <w:lang w:val="es-ES"/>
        </w:rPr>
      </w:pPr>
      <w:r w:rsidRPr="00B122AD">
        <w:rPr>
          <w:rFonts w:eastAsia="Times New Roman"/>
          <w:b/>
          <w:bCs/>
          <w:color w:val="000000"/>
          <w:kern w:val="0"/>
          <w:sz w:val="24"/>
          <w:szCs w:val="24"/>
          <w:lang w:val="es-ES"/>
        </w:rPr>
        <w:t>Solo emergencia: </w:t>
      </w: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Incluye extracciones y/o empastes de emergencia, solamente.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</w:rPr>
        <w:t> 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 xml:space="preserve">Las definiciones de servicio, las limitaciones y los pagos se basan en los utilizados en el Programa </w:t>
      </w:r>
      <w:proofErr w:type="spellStart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Medicaid</w:t>
      </w:r>
      <w:proofErr w:type="spellEnd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 xml:space="preserve"> de Texas. La responsabilidad del condado por el pago se limita a los estándares de pago del Departamento de Servicios de Salud del Estado de Texas (TDSHS) establecidos para el </w:t>
      </w: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CIHCP. En un año fiscal estatal (del 1 de septiembre al 31 de agosto), la responsabilidad del condado por cada residente elegible se limita a $ 30,000 por todos los servicios o 30 días de hospitalización y / o atención de SNF, lo que ocurra primero.</w:t>
      </w:r>
    </w:p>
    <w:p w:rsidR="00371753" w:rsidRDefault="00371753" w:rsidP="00371753">
      <w:pPr>
        <w:rPr>
          <w:b/>
          <w:bCs/>
          <w:sz w:val="24"/>
          <w:szCs w:val="24"/>
        </w:rPr>
      </w:pPr>
    </w:p>
    <w:p w:rsidR="00C638B2" w:rsidRDefault="00C638B2" w:rsidP="00371753">
      <w:pPr>
        <w:rPr>
          <w:rStyle w:val="Strong"/>
          <w:rFonts w:ascii="Verdana" w:hAnsi="Verdana"/>
          <w:color w:val="1B1B1B"/>
          <w:sz w:val="24"/>
          <w:szCs w:val="24"/>
          <w:u w:val="single"/>
          <w:shd w:val="clear" w:color="auto" w:fill="FFFFFF"/>
        </w:rPr>
      </w:pPr>
    </w:p>
    <w:p w:rsidR="00B122AD" w:rsidRPr="00B122AD" w:rsidRDefault="00B122AD" w:rsidP="00B122AD">
      <w:pPr>
        <w:widowControl/>
        <w:overflowPunct/>
        <w:autoSpaceDE/>
        <w:autoSpaceDN/>
        <w:adjustRightInd/>
        <w:jc w:val="center"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b/>
          <w:bCs/>
          <w:color w:val="000000"/>
          <w:kern w:val="0"/>
          <w:sz w:val="28"/>
          <w:szCs w:val="28"/>
          <w:u w:val="single"/>
          <w:lang w:val="es-ES"/>
        </w:rPr>
        <w:t>Condado de Bastrop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jc w:val="center"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b/>
          <w:bCs/>
          <w:color w:val="000000"/>
          <w:kern w:val="0"/>
          <w:sz w:val="28"/>
          <w:szCs w:val="28"/>
          <w:u w:val="single"/>
          <w:lang w:val="es-ES"/>
        </w:rPr>
        <w:t>Programa de atención médica para indigentes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jc w:val="center"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b/>
          <w:bCs/>
          <w:color w:val="000000"/>
          <w:kern w:val="0"/>
          <w:sz w:val="28"/>
          <w:szCs w:val="28"/>
        </w:rPr>
        <w:t> 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b/>
          <w:bCs/>
          <w:i/>
          <w:iCs/>
          <w:color w:val="000000"/>
          <w:kern w:val="0"/>
          <w:sz w:val="24"/>
          <w:szCs w:val="24"/>
          <w:lang w:val="es-ES"/>
        </w:rPr>
        <w:t>Dirección postal: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804 Pecan Street, Bastrop, TX 78602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b/>
          <w:bCs/>
          <w:i/>
          <w:iCs/>
          <w:color w:val="000000"/>
          <w:kern w:val="0"/>
          <w:sz w:val="24"/>
          <w:szCs w:val="24"/>
          <w:lang w:val="es-ES"/>
        </w:rPr>
        <w:t>Ubicación de la oficina: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 xml:space="preserve">104 </w:t>
      </w:r>
      <w:proofErr w:type="spellStart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Loop</w:t>
      </w:r>
      <w:proofErr w:type="spellEnd"/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 xml:space="preserve"> 150 W., Bastrop TX 78602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lang w:val="es-ES"/>
        </w:rPr>
      </w:pPr>
      <w:r w:rsidRPr="00B122AD">
        <w:rPr>
          <w:rFonts w:eastAsia="Times New Roman"/>
          <w:b/>
          <w:bCs/>
          <w:i/>
          <w:iCs/>
          <w:color w:val="000000"/>
          <w:kern w:val="0"/>
          <w:sz w:val="24"/>
          <w:szCs w:val="24"/>
          <w:lang w:val="es-ES"/>
        </w:rPr>
        <w:t>Teléfono:</w:t>
      </w: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 (512) 581-7170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lang w:val="es-ES"/>
        </w:rPr>
      </w:pPr>
      <w:r w:rsidRPr="00B122AD">
        <w:rPr>
          <w:rFonts w:eastAsia="Times New Roman"/>
          <w:b/>
          <w:bCs/>
          <w:i/>
          <w:iCs/>
          <w:color w:val="000000"/>
          <w:kern w:val="0"/>
          <w:sz w:val="24"/>
          <w:szCs w:val="24"/>
          <w:lang w:val="es-ES"/>
        </w:rPr>
        <w:t>FAX: </w:t>
      </w: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(512) 332-7203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b/>
          <w:bCs/>
          <w:i/>
          <w:iCs/>
          <w:color w:val="000000"/>
          <w:kern w:val="0"/>
          <w:sz w:val="24"/>
          <w:szCs w:val="24"/>
        </w:rPr>
        <w:t> 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b/>
          <w:bCs/>
          <w:i/>
          <w:iCs/>
          <w:color w:val="000000"/>
          <w:kern w:val="0"/>
          <w:sz w:val="24"/>
          <w:szCs w:val="24"/>
          <w:lang w:val="es-ES"/>
        </w:rPr>
        <w:t>Horario de oficina: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8:00 am - 5:00 pm de lunes a viernes (cerrado para el almuerzo 12:00-1:00 pm)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Proyecciones sin cita previa de lunes a viernes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8:00 am – 4:00 pm (cerrado para el almuerzo 12:00-1:00 pm)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</w:rPr>
        <w:t> 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La asistencia estará disponible a petición para completar las solicitudes. Los solicitantes son responsables de completar correctamente la solicitud y proporcionar la información requerida para la verificación y documentación de residencia, ingresos y recursos. El condado notificará al solicitante por escrito de su elegibilidad dentro de los 14 días posteriores a la recepción de la solicitud completa y la documentación requerida. El solicitante tiene derecho a apelar las decisiones de elegibilidad dentro de los 90 días posteriores a la recepción de la notificación por escrito de inelegibilidad.</w:t>
      </w:r>
    </w:p>
    <w:p w:rsidR="00F86CA0" w:rsidRDefault="00F86CA0" w:rsidP="00371753">
      <w:pPr>
        <w:rPr>
          <w:rStyle w:val="Strong"/>
          <w:rFonts w:ascii="Verdana" w:hAnsi="Verdana"/>
          <w:color w:val="1B1B1B"/>
          <w:sz w:val="24"/>
          <w:szCs w:val="24"/>
          <w:u w:val="single"/>
          <w:shd w:val="clear" w:color="auto" w:fill="FFFFFF"/>
        </w:rPr>
      </w:pPr>
    </w:p>
    <w:p w:rsidR="00F86CA0" w:rsidRDefault="00F86CA0" w:rsidP="00371753">
      <w:pPr>
        <w:rPr>
          <w:rStyle w:val="Strong"/>
          <w:rFonts w:ascii="Verdana" w:hAnsi="Verdana"/>
          <w:color w:val="1B1B1B"/>
          <w:sz w:val="24"/>
          <w:szCs w:val="24"/>
          <w:u w:val="single"/>
          <w:shd w:val="clear" w:color="auto" w:fill="FFFFFF"/>
        </w:rPr>
      </w:pP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ascii="Verdana" w:eastAsia="Times New Roman" w:hAnsi="Verdana"/>
          <w:b/>
          <w:bCs/>
          <w:color w:val="0F0F5F"/>
          <w:kern w:val="0"/>
          <w:sz w:val="24"/>
          <w:szCs w:val="24"/>
          <w:u w:val="single"/>
          <w:shd w:val="clear" w:color="auto" w:fill="F0F0A0"/>
          <w:lang w:val="es-ES"/>
        </w:rPr>
        <w:t>Estándar de ingresos mensuale</w:t>
      </w:r>
      <w:r w:rsidR="00907B7D">
        <w:rPr>
          <w:rFonts w:ascii="Verdana" w:eastAsia="Times New Roman" w:hAnsi="Verdana"/>
          <w:b/>
          <w:bCs/>
          <w:color w:val="0F0F5F"/>
          <w:kern w:val="0"/>
          <w:sz w:val="24"/>
          <w:szCs w:val="24"/>
          <w:u w:val="single"/>
          <w:shd w:val="clear" w:color="auto" w:fill="F0F0A0"/>
          <w:lang w:val="es-ES"/>
        </w:rPr>
        <w:t>s de CIHCP basado en el FPG 2023</w:t>
      </w:r>
      <w:bookmarkStart w:id="0" w:name="_GoBack"/>
      <w:bookmarkEnd w:id="0"/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ascii="Verdana" w:eastAsia="Times New Roman" w:hAnsi="Verdana"/>
          <w:b/>
          <w:bCs/>
          <w:color w:val="1B1B1B"/>
          <w:kern w:val="0"/>
          <w:sz w:val="24"/>
          <w:szCs w:val="24"/>
          <w:shd w:val="clear" w:color="auto" w:fill="FFFFFF"/>
        </w:rPr>
        <w:t> 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jc w:val="center"/>
        <w:rPr>
          <w:rFonts w:eastAsia="Times New Roman"/>
          <w:color w:val="000000"/>
          <w:kern w:val="0"/>
        </w:rPr>
      </w:pPr>
      <w:r w:rsidRPr="00B122AD">
        <w:rPr>
          <w:rFonts w:ascii="Verdana" w:eastAsia="Times New Roman" w:hAnsi="Verdana"/>
          <w:color w:val="000000"/>
          <w:kern w:val="0"/>
          <w:sz w:val="22"/>
          <w:szCs w:val="22"/>
          <w:u w:val="single"/>
          <w:lang w:val="es-ES"/>
        </w:rPr>
        <w:t>INGRESOS DEL TRABAJO VS INGRESOS NO GANADOS PARA LA ELEGIBILIDAD: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ascii="Verdana" w:eastAsia="Times New Roman" w:hAnsi="Verdana"/>
          <w:b/>
          <w:bCs/>
          <w:color w:val="1B1B1B"/>
          <w:kern w:val="0"/>
          <w:sz w:val="24"/>
          <w:szCs w:val="24"/>
          <w:shd w:val="clear" w:color="auto" w:fill="FFFFFF"/>
        </w:rPr>
        <w:t> 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2"/>
          <w:szCs w:val="22"/>
          <w:lang w:val="es-ES"/>
        </w:rPr>
        <w:t>Tabla de ingresos brutos no devengados:</w:t>
      </w:r>
    </w:p>
    <w:tbl>
      <w:tblPr>
        <w:tblW w:w="2412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306"/>
      </w:tblGrid>
      <w:tr w:rsidR="00B122AD" w:rsidRPr="00B122AD" w:rsidTr="00E92236">
        <w:trPr>
          <w:trHeight w:val="1800"/>
        </w:trPr>
        <w:tc>
          <w:tcPr>
            <w:tcW w:w="1106" w:type="dxa"/>
            <w:tcBorders>
              <w:top w:val="single" w:sz="8" w:space="0" w:color="A9AEB1"/>
              <w:left w:val="single" w:sz="8" w:space="0" w:color="A9AEB1"/>
              <w:bottom w:val="single" w:sz="8" w:space="0" w:color="A9AEB1"/>
              <w:right w:val="single" w:sz="8" w:space="0" w:color="A9AEB1"/>
            </w:tcBorders>
            <w:shd w:val="clear" w:color="auto" w:fill="DFE1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2AD" w:rsidRPr="00B122AD" w:rsidRDefault="00B122AD" w:rsidP="00B122AD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kern w:val="0"/>
              </w:rPr>
            </w:pPr>
            <w:r w:rsidRPr="00B122AD">
              <w:rPr>
                <w:rFonts w:ascii="Arial" w:eastAsia="Times New Roman" w:hAnsi="Arial" w:cs="Arial"/>
                <w:color w:val="1B1B1B"/>
                <w:kern w:val="0"/>
                <w:lang w:val="es-ES"/>
              </w:rPr>
              <w:t>Número de individuos en el hogar del CIHCP</w:t>
            </w:r>
          </w:p>
        </w:tc>
        <w:tc>
          <w:tcPr>
            <w:tcW w:w="1306" w:type="dxa"/>
            <w:tcBorders>
              <w:top w:val="single" w:sz="8" w:space="0" w:color="A9AEB1"/>
              <w:left w:val="nil"/>
              <w:bottom w:val="single" w:sz="8" w:space="0" w:color="A9AEB1"/>
              <w:right w:val="single" w:sz="8" w:space="0" w:color="A9AEB1"/>
            </w:tcBorders>
            <w:shd w:val="clear" w:color="auto" w:fill="DFE1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2AD" w:rsidRPr="00B122AD" w:rsidRDefault="00B122AD" w:rsidP="00B122AD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kern w:val="0"/>
              </w:rPr>
            </w:pPr>
            <w:r w:rsidRPr="00B122AD">
              <w:rPr>
                <w:rFonts w:ascii="Arial" w:eastAsia="Times New Roman" w:hAnsi="Arial" w:cs="Arial"/>
                <w:color w:val="1B1B1B"/>
                <w:kern w:val="0"/>
                <w:lang w:val="es-ES"/>
              </w:rPr>
              <w:t>21% ESTÁNDAR DE INGRESO MÍNIMO FPG</w:t>
            </w:r>
          </w:p>
        </w:tc>
      </w:tr>
      <w:tr w:rsidR="00E92236" w:rsidRPr="00B122AD" w:rsidTr="00E92236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9AEB1"/>
              <w:bottom w:val="single" w:sz="8" w:space="0" w:color="A9AEB1"/>
              <w:right w:val="single" w:sz="8" w:space="0" w:color="A9AEB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36" w:rsidRPr="00C9213B" w:rsidRDefault="00E92236" w:rsidP="00E92236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1B1B1B"/>
                <w:kern w:val="0"/>
              </w:rPr>
            </w:pPr>
            <w:r w:rsidRPr="00C9213B">
              <w:rPr>
                <w:rFonts w:ascii="Arial" w:eastAsia="Times New Roman" w:hAnsi="Arial" w:cs="Arial"/>
                <w:color w:val="1B1B1B"/>
                <w:kern w:val="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9AEB1"/>
              <w:right w:val="single" w:sz="8" w:space="0" w:color="A9AEB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36" w:rsidRPr="00C9213B" w:rsidRDefault="00E92236" w:rsidP="00E92236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1B1B1B"/>
                <w:kern w:val="0"/>
              </w:rPr>
            </w:pPr>
            <w:r>
              <w:rPr>
                <w:rFonts w:ascii="Arial" w:eastAsia="Times New Roman" w:hAnsi="Arial" w:cs="Arial"/>
                <w:color w:val="1B1B1B"/>
                <w:kern w:val="0"/>
              </w:rPr>
              <w:t>$255</w:t>
            </w:r>
          </w:p>
        </w:tc>
      </w:tr>
      <w:tr w:rsidR="00E92236" w:rsidRPr="00B122AD" w:rsidTr="00E92236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9AEB1"/>
              <w:bottom w:val="single" w:sz="8" w:space="0" w:color="A9AEB1"/>
              <w:right w:val="single" w:sz="8" w:space="0" w:color="A9AEB1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36" w:rsidRPr="00C9213B" w:rsidRDefault="00E92236" w:rsidP="00E92236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1B1B1B"/>
                <w:kern w:val="0"/>
              </w:rPr>
            </w:pPr>
            <w:r w:rsidRPr="00C9213B">
              <w:rPr>
                <w:rFonts w:ascii="Arial" w:eastAsia="Times New Roman" w:hAnsi="Arial" w:cs="Arial"/>
                <w:color w:val="1B1B1B"/>
                <w:kern w:val="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9AEB1"/>
              <w:right w:val="single" w:sz="8" w:space="0" w:color="A9AEB1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36" w:rsidRPr="00C9213B" w:rsidRDefault="00E92236" w:rsidP="00E92236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1B1B1B"/>
                <w:kern w:val="0"/>
              </w:rPr>
            </w:pPr>
            <w:r>
              <w:rPr>
                <w:rFonts w:ascii="Arial" w:eastAsia="Times New Roman" w:hAnsi="Arial" w:cs="Arial"/>
                <w:color w:val="1B1B1B"/>
                <w:kern w:val="0"/>
              </w:rPr>
              <w:t>$345</w:t>
            </w:r>
          </w:p>
        </w:tc>
      </w:tr>
      <w:tr w:rsidR="00E92236" w:rsidRPr="00B122AD" w:rsidTr="00E92236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9AEB1"/>
              <w:bottom w:val="single" w:sz="8" w:space="0" w:color="A9AEB1"/>
              <w:right w:val="single" w:sz="8" w:space="0" w:color="A9AEB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36" w:rsidRPr="00C9213B" w:rsidRDefault="00E92236" w:rsidP="00E92236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1B1B1B"/>
                <w:kern w:val="0"/>
              </w:rPr>
            </w:pPr>
            <w:r w:rsidRPr="00C9213B">
              <w:rPr>
                <w:rFonts w:ascii="Arial" w:eastAsia="Times New Roman" w:hAnsi="Arial" w:cs="Arial"/>
                <w:color w:val="1B1B1B"/>
                <w:kern w:val="0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9AEB1"/>
              <w:right w:val="single" w:sz="8" w:space="0" w:color="A9AEB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36" w:rsidRPr="00C9213B" w:rsidRDefault="00E92236" w:rsidP="00E92236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1B1B1B"/>
                <w:kern w:val="0"/>
              </w:rPr>
            </w:pPr>
            <w:r w:rsidRPr="00C9213B">
              <w:rPr>
                <w:rFonts w:ascii="Arial" w:eastAsia="Times New Roman" w:hAnsi="Arial" w:cs="Arial"/>
                <w:color w:val="1B1B1B"/>
                <w:kern w:val="0"/>
              </w:rPr>
              <w:t>$</w:t>
            </w:r>
            <w:r>
              <w:rPr>
                <w:rFonts w:ascii="Arial" w:eastAsia="Times New Roman" w:hAnsi="Arial" w:cs="Arial"/>
                <w:color w:val="1B1B1B"/>
                <w:kern w:val="0"/>
              </w:rPr>
              <w:t>435</w:t>
            </w:r>
          </w:p>
        </w:tc>
      </w:tr>
      <w:tr w:rsidR="00E92236" w:rsidRPr="00B122AD" w:rsidTr="00E92236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9AEB1"/>
              <w:bottom w:val="single" w:sz="8" w:space="0" w:color="A9AEB1"/>
              <w:right w:val="single" w:sz="8" w:space="0" w:color="A9AEB1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36" w:rsidRPr="00C9213B" w:rsidRDefault="00E92236" w:rsidP="00E92236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1B1B1B"/>
                <w:kern w:val="0"/>
              </w:rPr>
            </w:pPr>
            <w:r w:rsidRPr="00C9213B">
              <w:rPr>
                <w:rFonts w:ascii="Arial" w:eastAsia="Times New Roman" w:hAnsi="Arial" w:cs="Arial"/>
                <w:color w:val="1B1B1B"/>
                <w:kern w:val="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9AEB1"/>
              <w:right w:val="single" w:sz="8" w:space="0" w:color="A9AEB1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36" w:rsidRPr="00C9213B" w:rsidRDefault="00E92236" w:rsidP="00E92236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1B1B1B"/>
                <w:kern w:val="0"/>
              </w:rPr>
            </w:pPr>
            <w:r>
              <w:rPr>
                <w:rFonts w:ascii="Arial" w:eastAsia="Times New Roman" w:hAnsi="Arial" w:cs="Arial"/>
                <w:color w:val="1B1B1B"/>
                <w:kern w:val="0"/>
              </w:rPr>
              <w:t>$525</w:t>
            </w:r>
          </w:p>
        </w:tc>
      </w:tr>
      <w:tr w:rsidR="00E92236" w:rsidRPr="00B122AD" w:rsidTr="00E92236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9AEB1"/>
              <w:bottom w:val="single" w:sz="8" w:space="0" w:color="A9AEB1"/>
              <w:right w:val="single" w:sz="8" w:space="0" w:color="A9AEB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36" w:rsidRPr="00C9213B" w:rsidRDefault="00E92236" w:rsidP="00E92236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1B1B1B"/>
                <w:kern w:val="0"/>
              </w:rPr>
            </w:pPr>
            <w:r w:rsidRPr="00C9213B">
              <w:rPr>
                <w:rFonts w:ascii="Arial" w:eastAsia="Times New Roman" w:hAnsi="Arial" w:cs="Arial"/>
                <w:color w:val="1B1B1B"/>
                <w:kern w:val="0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9AEB1"/>
              <w:right w:val="single" w:sz="8" w:space="0" w:color="A9AEB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36" w:rsidRPr="00C9213B" w:rsidRDefault="00E92236" w:rsidP="00E92236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1B1B1B"/>
                <w:kern w:val="0"/>
              </w:rPr>
            </w:pPr>
            <w:r w:rsidRPr="00C9213B">
              <w:rPr>
                <w:rFonts w:ascii="Arial" w:eastAsia="Times New Roman" w:hAnsi="Arial" w:cs="Arial"/>
                <w:color w:val="1B1B1B"/>
                <w:kern w:val="0"/>
              </w:rPr>
              <w:t>$</w:t>
            </w:r>
            <w:r>
              <w:rPr>
                <w:rFonts w:ascii="Arial" w:eastAsia="Times New Roman" w:hAnsi="Arial" w:cs="Arial"/>
                <w:color w:val="1B1B1B"/>
                <w:kern w:val="0"/>
              </w:rPr>
              <w:t>615</w:t>
            </w:r>
          </w:p>
        </w:tc>
      </w:tr>
      <w:tr w:rsidR="00E92236" w:rsidRPr="00B122AD" w:rsidTr="00E92236">
        <w:trPr>
          <w:trHeight w:val="315"/>
        </w:trPr>
        <w:tc>
          <w:tcPr>
            <w:tcW w:w="1106" w:type="dxa"/>
            <w:tcBorders>
              <w:top w:val="nil"/>
              <w:left w:val="single" w:sz="8" w:space="0" w:color="A9AEB1"/>
              <w:bottom w:val="single" w:sz="8" w:space="0" w:color="A9AEB1"/>
              <w:right w:val="single" w:sz="8" w:space="0" w:color="A9AEB1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36" w:rsidRPr="00C9213B" w:rsidRDefault="00E92236" w:rsidP="00E92236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1B1B1B"/>
                <w:kern w:val="0"/>
              </w:rPr>
            </w:pPr>
            <w:r w:rsidRPr="00C9213B">
              <w:rPr>
                <w:rFonts w:ascii="Arial" w:eastAsia="Times New Roman" w:hAnsi="Arial" w:cs="Arial"/>
                <w:color w:val="1B1B1B"/>
                <w:kern w:val="0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9AEB1"/>
              <w:right w:val="single" w:sz="8" w:space="0" w:color="A9AEB1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236" w:rsidRPr="00C9213B" w:rsidRDefault="00E92236" w:rsidP="00E92236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1B1B1B"/>
                <w:kern w:val="0"/>
              </w:rPr>
            </w:pPr>
            <w:r w:rsidRPr="00C9213B">
              <w:rPr>
                <w:rFonts w:ascii="Arial" w:eastAsia="Times New Roman" w:hAnsi="Arial" w:cs="Arial"/>
                <w:color w:val="1B1B1B"/>
                <w:kern w:val="0"/>
              </w:rPr>
              <w:t>$</w:t>
            </w:r>
            <w:r>
              <w:rPr>
                <w:rFonts w:ascii="Arial" w:eastAsia="Times New Roman" w:hAnsi="Arial" w:cs="Arial"/>
                <w:color w:val="1B1B1B"/>
                <w:kern w:val="0"/>
              </w:rPr>
              <w:t>705</w:t>
            </w:r>
          </w:p>
        </w:tc>
      </w:tr>
    </w:tbl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</w:rPr>
        <w:t> 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</w:rPr>
        <w:t> </w:t>
      </w:r>
    </w:p>
    <w:p w:rsidR="00E92236" w:rsidRDefault="00B122AD" w:rsidP="00E92236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  <w:r w:rsidRPr="00B122AD">
        <w:rPr>
          <w:rFonts w:eastAsia="Times New Roman"/>
          <w:color w:val="000000"/>
          <w:kern w:val="0"/>
          <w:sz w:val="24"/>
          <w:szCs w:val="24"/>
        </w:rPr>
        <w:t> </w:t>
      </w:r>
    </w:p>
    <w:p w:rsidR="00E92236" w:rsidRDefault="00E92236" w:rsidP="00E92236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</w:p>
    <w:p w:rsidR="00E92236" w:rsidRDefault="00E92236" w:rsidP="00E92236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</w:p>
    <w:p w:rsidR="00E92236" w:rsidRDefault="00E92236" w:rsidP="00E92236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</w:p>
    <w:p w:rsidR="00E92236" w:rsidRDefault="00E92236" w:rsidP="00E92236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</w:p>
    <w:p w:rsidR="00E92236" w:rsidRDefault="00E92236" w:rsidP="00E92236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</w:p>
    <w:p w:rsidR="00E92236" w:rsidRDefault="00E92236" w:rsidP="00E92236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</w:p>
    <w:p w:rsidR="00E92236" w:rsidRDefault="00E92236" w:rsidP="00E92236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</w:p>
    <w:p w:rsidR="00E92236" w:rsidRDefault="00E92236" w:rsidP="00E92236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</w:p>
    <w:p w:rsidR="00E92236" w:rsidRDefault="00E92236" w:rsidP="00E92236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</w:p>
    <w:p w:rsidR="00E92236" w:rsidRDefault="00E92236" w:rsidP="00E92236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</w:p>
    <w:p w:rsidR="00B122AD" w:rsidRPr="00B122AD" w:rsidRDefault="00B122AD" w:rsidP="00E92236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</w:rPr>
        <w:t> </w:t>
      </w:r>
    </w:p>
    <w:p w:rsidR="00371753" w:rsidRDefault="00371753" w:rsidP="000B37FD">
      <w:pPr>
        <w:rPr>
          <w:sz w:val="24"/>
          <w:szCs w:val="24"/>
        </w:rPr>
      </w:pPr>
    </w:p>
    <w:p w:rsidR="00371753" w:rsidRDefault="00371753" w:rsidP="000B37FD">
      <w:pPr>
        <w:rPr>
          <w:sz w:val="24"/>
          <w:szCs w:val="24"/>
        </w:rPr>
      </w:pPr>
    </w:p>
    <w:p w:rsidR="00371753" w:rsidRDefault="00371753" w:rsidP="000B37FD">
      <w:pPr>
        <w:rPr>
          <w:sz w:val="24"/>
          <w:szCs w:val="24"/>
        </w:rPr>
      </w:pPr>
    </w:p>
    <w:p w:rsidR="00371753" w:rsidRDefault="00371753" w:rsidP="000B37FD">
      <w:pPr>
        <w:rPr>
          <w:sz w:val="24"/>
          <w:szCs w:val="24"/>
        </w:rPr>
      </w:pPr>
    </w:p>
    <w:p w:rsidR="00371753" w:rsidRDefault="00371753" w:rsidP="000B37FD">
      <w:pPr>
        <w:rPr>
          <w:sz w:val="24"/>
          <w:szCs w:val="24"/>
        </w:rPr>
      </w:pPr>
    </w:p>
    <w:p w:rsidR="0038319C" w:rsidRDefault="0038319C" w:rsidP="00353E5D">
      <w:pPr>
        <w:rPr>
          <w:sz w:val="24"/>
          <w:szCs w:val="24"/>
        </w:rPr>
      </w:pP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u w:val="single"/>
          <w:lang w:val="es-ES"/>
        </w:rPr>
        <w:t>BASE JURÍDICA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</w:rPr>
        <w:t> 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El Programa de Atención Médica para Indigentes del Condado (CIHCP, por sus siglas en inglés) fue ordenado por la Ley de Atención y Tratamiento de La Salud para Indigentes de 1985 y está contenido en el subtítulo C, capítulo 61, del Código de Salud y Seguridad de Texas. El TDSHS tiene el mandato legal de establecer reglas del programa y administrar el fondo de asistencia estatal del CIHCP. El proyecto de ley 1398 de la Cámara de Representantes, aprobado en 1999, hizo los primeros cambios importantes a este programa.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</w:rPr>
        <w:t> 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24"/>
          <w:szCs w:val="24"/>
          <w:lang w:val="es-ES"/>
        </w:rPr>
        <w:t>La administración del CIHCP es responsabilidad exclusiva del gobierno del condado. Los residentes del condado solicitan en el lugar designado por el condado. La administración de programas locales a menudo resulta en diferencias significativas entre los sistemas de entrega.</w:t>
      </w:r>
    </w:p>
    <w:p w:rsidR="00371753" w:rsidRDefault="00371753" w:rsidP="000B37FD">
      <w:pPr>
        <w:rPr>
          <w:sz w:val="24"/>
          <w:szCs w:val="24"/>
        </w:rPr>
      </w:pPr>
    </w:p>
    <w:p w:rsidR="00371753" w:rsidRDefault="00371753" w:rsidP="000B37FD">
      <w:pPr>
        <w:rPr>
          <w:sz w:val="24"/>
          <w:szCs w:val="24"/>
        </w:rPr>
      </w:pPr>
    </w:p>
    <w:p w:rsidR="00371753" w:rsidRDefault="00371753" w:rsidP="000B37FD">
      <w:pPr>
        <w:rPr>
          <w:sz w:val="24"/>
          <w:szCs w:val="24"/>
        </w:rPr>
      </w:pPr>
    </w:p>
    <w:p w:rsidR="00371753" w:rsidRDefault="00371753" w:rsidP="000B37FD">
      <w:pPr>
        <w:rPr>
          <w:sz w:val="24"/>
          <w:szCs w:val="24"/>
        </w:rPr>
      </w:pPr>
    </w:p>
    <w:p w:rsidR="00371753" w:rsidRDefault="00371753" w:rsidP="000B37FD">
      <w:pPr>
        <w:rPr>
          <w:sz w:val="24"/>
          <w:szCs w:val="24"/>
        </w:rPr>
      </w:pPr>
    </w:p>
    <w:p w:rsidR="003C4FF2" w:rsidRDefault="003C4FF2" w:rsidP="000B37FD">
      <w:pPr>
        <w:rPr>
          <w:sz w:val="24"/>
          <w:szCs w:val="24"/>
        </w:rPr>
      </w:pPr>
    </w:p>
    <w:p w:rsidR="003C4FF2" w:rsidRDefault="003C4FF2" w:rsidP="000B37FD">
      <w:pPr>
        <w:rPr>
          <w:sz w:val="24"/>
          <w:szCs w:val="24"/>
        </w:rPr>
      </w:pPr>
    </w:p>
    <w:p w:rsidR="003C4FF2" w:rsidRDefault="003C4FF2" w:rsidP="000B37FD">
      <w:pPr>
        <w:rPr>
          <w:sz w:val="24"/>
          <w:szCs w:val="24"/>
        </w:rPr>
      </w:pPr>
    </w:p>
    <w:p w:rsidR="003C4FF2" w:rsidRDefault="003C4FF2" w:rsidP="000B37FD">
      <w:pPr>
        <w:rPr>
          <w:sz w:val="24"/>
          <w:szCs w:val="24"/>
        </w:rPr>
      </w:pPr>
    </w:p>
    <w:p w:rsidR="003C4FF2" w:rsidRDefault="003C4FF2" w:rsidP="000B37FD">
      <w:pPr>
        <w:rPr>
          <w:sz w:val="24"/>
          <w:szCs w:val="24"/>
        </w:rPr>
      </w:pPr>
    </w:p>
    <w:p w:rsidR="003C4FF2" w:rsidRDefault="003C4FF2" w:rsidP="000B37FD">
      <w:pPr>
        <w:rPr>
          <w:sz w:val="24"/>
          <w:szCs w:val="24"/>
        </w:rPr>
      </w:pPr>
    </w:p>
    <w:p w:rsidR="003C4FF2" w:rsidRDefault="003C4FF2" w:rsidP="000B37FD">
      <w:pPr>
        <w:rPr>
          <w:sz w:val="24"/>
          <w:szCs w:val="24"/>
        </w:rPr>
      </w:pPr>
    </w:p>
    <w:p w:rsidR="003C4FF2" w:rsidRDefault="003C4FF2" w:rsidP="000B37FD">
      <w:pPr>
        <w:rPr>
          <w:sz w:val="24"/>
          <w:szCs w:val="24"/>
        </w:rPr>
      </w:pPr>
    </w:p>
    <w:p w:rsidR="003C4FF2" w:rsidRDefault="003C4FF2" w:rsidP="000B37FD">
      <w:pPr>
        <w:rPr>
          <w:sz w:val="24"/>
          <w:szCs w:val="24"/>
        </w:rPr>
      </w:pPr>
    </w:p>
    <w:p w:rsidR="003C4FF2" w:rsidRDefault="003C4FF2" w:rsidP="000B37FD">
      <w:pPr>
        <w:rPr>
          <w:sz w:val="24"/>
          <w:szCs w:val="24"/>
        </w:rPr>
      </w:pPr>
    </w:p>
    <w:p w:rsidR="003C4FF2" w:rsidRDefault="003C4FF2" w:rsidP="000B37FD">
      <w:pPr>
        <w:rPr>
          <w:sz w:val="24"/>
          <w:szCs w:val="24"/>
        </w:rPr>
      </w:pPr>
    </w:p>
    <w:p w:rsidR="003C4FF2" w:rsidRDefault="003C4FF2" w:rsidP="000B37FD">
      <w:pPr>
        <w:rPr>
          <w:sz w:val="24"/>
          <w:szCs w:val="24"/>
        </w:rPr>
      </w:pPr>
    </w:p>
    <w:p w:rsidR="003C4FF2" w:rsidRDefault="003C4FF2" w:rsidP="000B37FD">
      <w:pPr>
        <w:rPr>
          <w:sz w:val="24"/>
          <w:szCs w:val="24"/>
        </w:rPr>
      </w:pPr>
    </w:p>
    <w:p w:rsidR="00371753" w:rsidRDefault="00371753" w:rsidP="000B37FD">
      <w:pPr>
        <w:rPr>
          <w:sz w:val="24"/>
          <w:szCs w:val="24"/>
        </w:rPr>
      </w:pPr>
    </w:p>
    <w:p w:rsidR="00371753" w:rsidRDefault="00371753" w:rsidP="000B37FD">
      <w:pPr>
        <w:rPr>
          <w:sz w:val="24"/>
          <w:szCs w:val="24"/>
        </w:rPr>
      </w:pPr>
    </w:p>
    <w:p w:rsidR="00371753" w:rsidRDefault="00371753" w:rsidP="00371753">
      <w:pPr>
        <w:rPr>
          <w:sz w:val="40"/>
          <w:szCs w:val="40"/>
        </w:rPr>
      </w:pPr>
    </w:p>
    <w:p w:rsidR="0038319C" w:rsidRDefault="0038319C" w:rsidP="00371753">
      <w:pPr>
        <w:rPr>
          <w:sz w:val="40"/>
          <w:szCs w:val="40"/>
        </w:rPr>
      </w:pPr>
    </w:p>
    <w:p w:rsidR="00371753" w:rsidRDefault="00907B7D" w:rsidP="00371753">
      <w:pPr>
        <w:jc w:val="center"/>
        <w:rPr>
          <w:sz w:val="40"/>
          <w:szCs w:val="40"/>
        </w:rPr>
      </w:pPr>
      <w:hyperlink r:id="rId4" w:history="1">
        <w:r w:rsidR="00371753">
          <w:rPr>
            <w:i/>
            <w:iCs/>
            <w:color w:val="000000"/>
          </w:rPr>
          <w:fldChar w:fldCharType="begin"/>
        </w:r>
        <w:r w:rsidR="00371753">
          <w:rPr>
            <w:i/>
            <w:iCs/>
            <w:color w:val="000000"/>
          </w:rPr>
          <w:instrText xml:space="preserve"> INCLUDEPICTURE  "cid:image001.jpg@01D8437E.FB1E31F0" \* MERGEFORMATINET </w:instrText>
        </w:r>
        <w:r w:rsidR="00371753">
          <w:rPr>
            <w:i/>
            <w:iCs/>
            <w:color w:val="000000"/>
          </w:rPr>
          <w:fldChar w:fldCharType="separate"/>
        </w:r>
        <w:r w:rsidR="00C63D99">
          <w:rPr>
            <w:i/>
            <w:iCs/>
            <w:color w:val="000000"/>
          </w:rPr>
          <w:fldChar w:fldCharType="begin"/>
        </w:r>
        <w:r w:rsidR="00C63D99">
          <w:rPr>
            <w:i/>
            <w:iCs/>
            <w:color w:val="000000"/>
          </w:rPr>
          <w:instrText xml:space="preserve"> INCLUDEPICTURE  "cid:image001.jpg@01D8437E.FB1E31F0" \* MERGEFORMATINET </w:instrText>
        </w:r>
        <w:r w:rsidR="00C63D99">
          <w:rPr>
            <w:i/>
            <w:iCs/>
            <w:color w:val="000000"/>
          </w:rPr>
          <w:fldChar w:fldCharType="separate"/>
        </w:r>
        <w:r w:rsidR="00572A57">
          <w:rPr>
            <w:i/>
            <w:iCs/>
            <w:color w:val="000000"/>
          </w:rPr>
          <w:fldChar w:fldCharType="begin"/>
        </w:r>
        <w:r w:rsidR="00572A57">
          <w:rPr>
            <w:i/>
            <w:iCs/>
            <w:color w:val="000000"/>
          </w:rPr>
          <w:instrText xml:space="preserve"> INCLUDEPICTURE  "cid:image001.jpg@01D8437E.FB1E31F0" \* MERGEFORMATINET </w:instrText>
        </w:r>
        <w:r w:rsidR="00572A57">
          <w:rPr>
            <w:i/>
            <w:iCs/>
            <w:color w:val="000000"/>
          </w:rPr>
          <w:fldChar w:fldCharType="separate"/>
        </w:r>
        <w:r w:rsidR="00BA3E9E">
          <w:rPr>
            <w:i/>
            <w:iCs/>
            <w:color w:val="000000"/>
          </w:rPr>
          <w:fldChar w:fldCharType="begin"/>
        </w:r>
        <w:r w:rsidR="00BA3E9E">
          <w:rPr>
            <w:i/>
            <w:iCs/>
            <w:color w:val="000000"/>
          </w:rPr>
          <w:instrText xml:space="preserve"> INCLUDEPICTURE  "cid:image001.jpg@01D8437E.FB1E31F0" \* MERGEFORMATINET </w:instrText>
        </w:r>
        <w:r w:rsidR="00BA3E9E">
          <w:rPr>
            <w:i/>
            <w:iCs/>
            <w:color w:val="000000"/>
          </w:rPr>
          <w:fldChar w:fldCharType="separate"/>
        </w:r>
        <w:r w:rsidR="00B122AD">
          <w:rPr>
            <w:i/>
            <w:iCs/>
            <w:color w:val="000000"/>
          </w:rPr>
          <w:fldChar w:fldCharType="begin"/>
        </w:r>
        <w:r w:rsidR="00B122AD">
          <w:rPr>
            <w:i/>
            <w:iCs/>
            <w:color w:val="000000"/>
          </w:rPr>
          <w:instrText xml:space="preserve"> INCLUDEPICTURE  "cid:image001.jpg@01D8437E.FB1E31F0" \* MERGEFORMATINET </w:instrText>
        </w:r>
        <w:r w:rsidR="00B122AD">
          <w:rPr>
            <w:i/>
            <w:iCs/>
            <w:color w:val="000000"/>
          </w:rPr>
          <w:fldChar w:fldCharType="separate"/>
        </w:r>
        <w:r w:rsidR="003C4FF2">
          <w:rPr>
            <w:i/>
            <w:iCs/>
            <w:color w:val="000000"/>
          </w:rPr>
          <w:fldChar w:fldCharType="begin"/>
        </w:r>
        <w:r w:rsidR="003C4FF2">
          <w:rPr>
            <w:i/>
            <w:iCs/>
            <w:color w:val="000000"/>
          </w:rPr>
          <w:instrText xml:space="preserve"> INCLUDEPICTURE  "cid:image001.jpg@01D8437E.FB1E31F0" \* MERGEFORMATINET </w:instrText>
        </w:r>
        <w:r w:rsidR="003C4FF2">
          <w:rPr>
            <w:i/>
            <w:iCs/>
            <w:color w:val="000000"/>
          </w:rPr>
          <w:fldChar w:fldCharType="separate"/>
        </w:r>
        <w:r>
          <w:rPr>
            <w:i/>
            <w:iCs/>
            <w:color w:val="000000"/>
          </w:rPr>
          <w:fldChar w:fldCharType="begin"/>
        </w:r>
        <w:r>
          <w:rPr>
            <w:i/>
            <w:iCs/>
            <w:color w:val="000000"/>
          </w:rPr>
          <w:instrText xml:space="preserve"> </w:instrText>
        </w:r>
        <w:r>
          <w:rPr>
            <w:i/>
            <w:iCs/>
            <w:color w:val="000000"/>
          </w:rPr>
          <w:instrText>INCLUDEPICTURE  "cid:image001.jpg@01D8437E.FB1E31F0" \* MERGEFORMATINET</w:instrText>
        </w:r>
        <w:r>
          <w:rPr>
            <w:i/>
            <w:iCs/>
            <w:color w:val="000000"/>
          </w:rPr>
          <w:instrText xml:space="preserve"> </w:instrText>
        </w:r>
        <w:r>
          <w:rPr>
            <w:i/>
            <w:iCs/>
            <w:color w:val="000000"/>
          </w:rPr>
          <w:fldChar w:fldCharType="separate"/>
        </w:r>
        <w:r w:rsidR="00E92236">
          <w:rPr>
            <w:i/>
            <w:iCs/>
            <w:color w:val="00000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" style="width:120.9pt;height:125.65pt">
              <v:imagedata r:id="rId5" r:href="rId6"/>
            </v:shape>
          </w:pict>
        </w:r>
        <w:r>
          <w:rPr>
            <w:i/>
            <w:iCs/>
            <w:color w:val="000000"/>
          </w:rPr>
          <w:fldChar w:fldCharType="end"/>
        </w:r>
        <w:r w:rsidR="003C4FF2">
          <w:rPr>
            <w:i/>
            <w:iCs/>
            <w:color w:val="000000"/>
          </w:rPr>
          <w:fldChar w:fldCharType="end"/>
        </w:r>
        <w:r w:rsidR="00B122AD">
          <w:rPr>
            <w:i/>
            <w:iCs/>
            <w:color w:val="000000"/>
          </w:rPr>
          <w:fldChar w:fldCharType="end"/>
        </w:r>
        <w:r w:rsidR="00BA3E9E">
          <w:rPr>
            <w:i/>
            <w:iCs/>
            <w:color w:val="000000"/>
          </w:rPr>
          <w:fldChar w:fldCharType="end"/>
        </w:r>
        <w:r w:rsidR="00572A57">
          <w:rPr>
            <w:i/>
            <w:iCs/>
            <w:color w:val="000000"/>
          </w:rPr>
          <w:fldChar w:fldCharType="end"/>
        </w:r>
        <w:r w:rsidR="00C63D99">
          <w:rPr>
            <w:i/>
            <w:iCs/>
            <w:color w:val="000000"/>
          </w:rPr>
          <w:fldChar w:fldCharType="end"/>
        </w:r>
        <w:r w:rsidR="00371753">
          <w:rPr>
            <w:i/>
            <w:iCs/>
            <w:color w:val="000000"/>
          </w:rPr>
          <w:fldChar w:fldCharType="end"/>
        </w:r>
      </w:hyperlink>
    </w:p>
    <w:p w:rsidR="00353E5D" w:rsidRDefault="00353E5D" w:rsidP="00371753">
      <w:pPr>
        <w:jc w:val="center"/>
        <w:rPr>
          <w:rFonts w:ascii="CG Times (W1)" w:hAnsi="CG Times (W1)" w:cs="CG Times (W1)"/>
          <w:b/>
          <w:bCs/>
          <w:sz w:val="44"/>
          <w:szCs w:val="44"/>
        </w:rPr>
      </w:pPr>
    </w:p>
    <w:p w:rsidR="00353E5D" w:rsidRDefault="00353E5D" w:rsidP="00371753">
      <w:pPr>
        <w:jc w:val="center"/>
        <w:rPr>
          <w:rFonts w:ascii="CG Times (W1)" w:hAnsi="CG Times (W1)" w:cs="CG Times (W1)"/>
          <w:b/>
          <w:bCs/>
          <w:sz w:val="44"/>
          <w:szCs w:val="44"/>
        </w:rPr>
      </w:pPr>
    </w:p>
    <w:p w:rsidR="00353E5D" w:rsidRDefault="00353E5D" w:rsidP="00371753">
      <w:pPr>
        <w:jc w:val="center"/>
        <w:rPr>
          <w:rFonts w:ascii="CG Times (W1)" w:hAnsi="CG Times (W1)" w:cs="CG Times (W1)"/>
          <w:b/>
          <w:bCs/>
          <w:sz w:val="44"/>
          <w:szCs w:val="44"/>
        </w:rPr>
      </w:pPr>
    </w:p>
    <w:p w:rsidR="00B122AD" w:rsidRPr="00B122AD" w:rsidRDefault="00B122AD" w:rsidP="00B122AD">
      <w:pPr>
        <w:widowControl/>
        <w:overflowPunct/>
        <w:autoSpaceDE/>
        <w:autoSpaceDN/>
        <w:adjustRightInd/>
        <w:jc w:val="center"/>
        <w:rPr>
          <w:rFonts w:eastAsia="Times New Roman"/>
          <w:color w:val="000000"/>
          <w:kern w:val="0"/>
        </w:rPr>
      </w:pPr>
      <w:r w:rsidRPr="00B122AD">
        <w:rPr>
          <w:rFonts w:ascii="CG Times (W1)" w:eastAsia="Times New Roman" w:hAnsi="CG Times (W1)"/>
          <w:b/>
          <w:bCs/>
          <w:color w:val="0F0F5F"/>
          <w:kern w:val="0"/>
          <w:sz w:val="44"/>
          <w:szCs w:val="44"/>
          <w:shd w:val="clear" w:color="auto" w:fill="F0F0A0"/>
          <w:lang w:val="es-ES"/>
        </w:rPr>
        <w:t>CONDADO DE BASTROP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jc w:val="center"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40"/>
          <w:szCs w:val="40"/>
          <w:lang w:val="es-ES"/>
        </w:rPr>
        <w:t>PROGRAMA DE ATENCIÓN MÉDICA PARA INDIGENTES</w:t>
      </w:r>
    </w:p>
    <w:p w:rsidR="00B122AD" w:rsidRPr="00B122AD" w:rsidRDefault="00B122AD" w:rsidP="00B122AD">
      <w:pPr>
        <w:widowControl/>
        <w:overflowPunct/>
        <w:autoSpaceDE/>
        <w:autoSpaceDN/>
        <w:adjustRightInd/>
        <w:jc w:val="center"/>
        <w:rPr>
          <w:rFonts w:eastAsia="Times New Roman"/>
          <w:color w:val="000000"/>
          <w:kern w:val="0"/>
        </w:rPr>
      </w:pPr>
      <w:r w:rsidRPr="00B122AD">
        <w:rPr>
          <w:rFonts w:eastAsia="Times New Roman"/>
          <w:color w:val="000000"/>
          <w:kern w:val="0"/>
          <w:sz w:val="40"/>
          <w:szCs w:val="40"/>
          <w:lang w:val="es-ES"/>
        </w:rPr>
        <w:t>(CIHCP)</w:t>
      </w:r>
    </w:p>
    <w:p w:rsidR="00371753" w:rsidRDefault="00371753" w:rsidP="000B37FD">
      <w:pPr>
        <w:rPr>
          <w:sz w:val="24"/>
          <w:szCs w:val="24"/>
        </w:rPr>
      </w:pPr>
    </w:p>
    <w:p w:rsidR="00371753" w:rsidRPr="000B37FD" w:rsidRDefault="00371753" w:rsidP="000B37FD">
      <w:pPr>
        <w:rPr>
          <w:sz w:val="24"/>
          <w:szCs w:val="24"/>
        </w:rPr>
      </w:pPr>
    </w:p>
    <w:sectPr w:rsidR="00371753" w:rsidRPr="000B37FD" w:rsidSect="000B37FD">
      <w:pgSz w:w="15840" w:h="12240" w:orient="landscape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FD"/>
    <w:rsid w:val="000842AC"/>
    <w:rsid w:val="000B1DA1"/>
    <w:rsid w:val="000B37FD"/>
    <w:rsid w:val="00353E5D"/>
    <w:rsid w:val="00371753"/>
    <w:rsid w:val="0038319C"/>
    <w:rsid w:val="003C4FF2"/>
    <w:rsid w:val="00572A57"/>
    <w:rsid w:val="005A10F2"/>
    <w:rsid w:val="00907B7D"/>
    <w:rsid w:val="009E3E82"/>
    <w:rsid w:val="00A227B5"/>
    <w:rsid w:val="00B122AD"/>
    <w:rsid w:val="00BA3E9E"/>
    <w:rsid w:val="00C638B2"/>
    <w:rsid w:val="00C63D99"/>
    <w:rsid w:val="00E92236"/>
    <w:rsid w:val="00F86CA0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ABC4E5"/>
  <w15:chartTrackingRefBased/>
  <w15:docId w15:val="{8E04A1CF-D912-45BE-B80B-2EB1AE60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71753"/>
    <w:rPr>
      <w:b/>
      <w:bCs/>
    </w:rPr>
  </w:style>
  <w:style w:type="paragraph" w:styleId="NoSpacing">
    <w:name w:val="No Spacing"/>
    <w:uiPriority w:val="1"/>
    <w:qFormat/>
    <w:rsid w:val="003717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53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437E.FB1E31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o.bastrop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Rinehart</dc:creator>
  <cp:keywords/>
  <dc:description/>
  <cp:lastModifiedBy>Lisa Rinehart</cp:lastModifiedBy>
  <cp:revision>5</cp:revision>
  <cp:lastPrinted>2022-04-01T19:05:00Z</cp:lastPrinted>
  <dcterms:created xsi:type="dcterms:W3CDTF">2022-07-06T16:25:00Z</dcterms:created>
  <dcterms:modified xsi:type="dcterms:W3CDTF">2023-05-02T20:57:00Z</dcterms:modified>
</cp:coreProperties>
</file>