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9C930" w14:textId="512F25E2" w:rsidR="00EA7452" w:rsidRPr="00D55405" w:rsidRDefault="002D72E1" w:rsidP="00C86AD3">
      <w:pPr>
        <w:pStyle w:val="Heading1"/>
      </w:pPr>
      <w:r w:rsidRPr="002B7A06">
        <w:rPr>
          <w:b w:val="0"/>
          <w:noProof/>
        </w:rPr>
        <w:drawing>
          <wp:inline distT="0" distB="0" distL="0" distR="0" wp14:anchorId="64E85C42" wp14:editId="41282FA9">
            <wp:extent cx="5943600" cy="664210"/>
            <wp:effectExtent l="0" t="0" r="0" b="2540"/>
            <wp:docPr id="2" name="Picture 2" descr="Texas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HS logo BW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664210"/>
                    </a:xfrm>
                    <a:prstGeom prst="rect">
                      <a:avLst/>
                    </a:prstGeom>
                  </pic:spPr>
                </pic:pic>
              </a:graphicData>
            </a:graphic>
          </wp:inline>
        </w:drawing>
      </w:r>
      <w:r w:rsidR="00C6652F" w:rsidRPr="00D55405">
        <w:t>Local Provider Network Development Plan</w:t>
      </w:r>
      <w:r w:rsidR="00D778F1">
        <w:t>: Fiscal Year 2025</w:t>
      </w:r>
    </w:p>
    <w:p w14:paraId="500A04C9" w14:textId="6793900E" w:rsidR="002E77BD" w:rsidRDefault="00D55405" w:rsidP="002E77BD">
      <w:pPr>
        <w:pStyle w:val="BodyTextafterheading"/>
      </w:pPr>
      <w:r>
        <w:t xml:space="preserve">The </w:t>
      </w:r>
      <w:r w:rsidR="00E448C0">
        <w:t xml:space="preserve">Texas Health </w:t>
      </w:r>
      <w:r w:rsidR="00DC3CC4">
        <w:t xml:space="preserve">and Human Services (HHSC) requires </w:t>
      </w:r>
      <w:r w:rsidR="0091433D">
        <w:t xml:space="preserve">all </w:t>
      </w:r>
      <w:r w:rsidR="007C06CC">
        <w:t>l</w:t>
      </w:r>
      <w:r w:rsidR="0091433D">
        <w:t xml:space="preserve">ocal </w:t>
      </w:r>
      <w:r w:rsidR="007C06CC">
        <w:t>m</w:t>
      </w:r>
      <w:r w:rsidR="0091433D">
        <w:t xml:space="preserve">ental </w:t>
      </w:r>
      <w:r w:rsidR="007C06CC">
        <w:t>h</w:t>
      </w:r>
      <w:r w:rsidR="0091433D">
        <w:t xml:space="preserve">ealth </w:t>
      </w:r>
      <w:r w:rsidR="007C06CC">
        <w:t>a</w:t>
      </w:r>
      <w:r w:rsidR="0091433D">
        <w:t xml:space="preserve">uthorities (LMHA) and </w:t>
      </w:r>
      <w:r w:rsidR="007C06CC">
        <w:t>l</w:t>
      </w:r>
      <w:r w:rsidR="0091433D">
        <w:t xml:space="preserve">ocal </w:t>
      </w:r>
      <w:r w:rsidR="007C06CC">
        <w:t>b</w:t>
      </w:r>
      <w:r w:rsidR="0091433D">
        <w:t xml:space="preserve">ehavioral </w:t>
      </w:r>
      <w:r w:rsidR="007C06CC">
        <w:t>h</w:t>
      </w:r>
      <w:r w:rsidR="0091433D">
        <w:t xml:space="preserve">ealth </w:t>
      </w:r>
      <w:r w:rsidR="007C06CC">
        <w:t>a</w:t>
      </w:r>
      <w:r w:rsidR="0091433D">
        <w:t>uthorities (LBHA) c</w:t>
      </w:r>
      <w:r w:rsidR="002E77BD">
        <w:t xml:space="preserve">omplete </w:t>
      </w:r>
      <w:r w:rsidR="00A63977">
        <w:t xml:space="preserve">the Local Provider Network Development </w:t>
      </w:r>
      <w:r w:rsidR="006853DE">
        <w:t xml:space="preserve">(LPND) plan </w:t>
      </w:r>
      <w:r w:rsidR="002E77BD">
        <w:t>and submit in Word format (not PDF) to</w:t>
      </w:r>
      <w:r w:rsidR="0087070E">
        <w:t xml:space="preserve"> </w:t>
      </w:r>
      <w:hyperlink r:id="rId12" w:history="1">
        <w:r w:rsidR="007C06CC" w:rsidRPr="00E66BB6">
          <w:rPr>
            <w:rStyle w:val="Hyperlink"/>
            <w:rFonts w:cstheme="minorBidi"/>
          </w:rPr>
          <w:t>Performance.Contracts@hhs.texas.gov</w:t>
        </w:r>
      </w:hyperlink>
      <w:r w:rsidR="007C06CC">
        <w:t xml:space="preserve"> </w:t>
      </w:r>
      <w:r w:rsidR="002E77BD" w:rsidRPr="003559E8">
        <w:rPr>
          <w:b/>
          <w:bCs/>
        </w:rPr>
        <w:t>no later than December 31, 2024</w:t>
      </w:r>
      <w:r w:rsidR="002E77BD">
        <w:t xml:space="preserve">. </w:t>
      </w:r>
    </w:p>
    <w:p w14:paraId="486BA716" w14:textId="72FAE77F" w:rsidR="002E77BD" w:rsidRDefault="002E77BD" w:rsidP="002E77BD">
      <w:pPr>
        <w:pStyle w:val="BodyTextafterheading"/>
      </w:pPr>
      <w:r>
        <w:t>LMHAs</w:t>
      </w:r>
      <w:r w:rsidR="00972050">
        <w:t xml:space="preserve"> </w:t>
      </w:r>
      <w:r>
        <w:t>and LBHAs</w:t>
      </w:r>
      <w:r w:rsidR="00972050">
        <w:t xml:space="preserve"> </w:t>
      </w:r>
      <w:r w:rsidR="003559E8">
        <w:t>are required to</w:t>
      </w:r>
      <w:r>
        <w:t xml:space="preserve"> complete Part I, which includes providing baseline data about services</w:t>
      </w:r>
      <w:r w:rsidR="00646FB0">
        <w:t xml:space="preserve">, </w:t>
      </w:r>
      <w:r w:rsidR="00D97B9D">
        <w:t>contracts,</w:t>
      </w:r>
      <w:r>
        <w:t xml:space="preserve"> and documentation of the LMHA’s or</w:t>
      </w:r>
      <w:r w:rsidR="00972050">
        <w:t xml:space="preserve"> </w:t>
      </w:r>
      <w:r>
        <w:t>LBHA’s assessment of provider availability</w:t>
      </w:r>
      <w:r w:rsidR="003404E9">
        <w:t>;</w:t>
      </w:r>
      <w:r>
        <w:t xml:space="preserve"> and Part III, which outlines Planning and Network Advisory Committee (PNAC) involvement and public comment. </w:t>
      </w:r>
    </w:p>
    <w:p w14:paraId="2323B4EA" w14:textId="61DE3303" w:rsidR="00357C8B" w:rsidRDefault="00935B96" w:rsidP="002E77BD">
      <w:pPr>
        <w:pStyle w:val="BodyTextafterheading"/>
      </w:pPr>
      <w:r>
        <w:t xml:space="preserve">HHSC </w:t>
      </w:r>
      <w:r w:rsidR="0024423B">
        <w:t xml:space="preserve">only </w:t>
      </w:r>
      <w:r>
        <w:t xml:space="preserve">requires </w:t>
      </w:r>
      <w:r w:rsidR="002E77BD">
        <w:t>LMHAs and</w:t>
      </w:r>
      <w:r w:rsidR="00357C8B">
        <w:t xml:space="preserve"> </w:t>
      </w:r>
      <w:r w:rsidR="002E77BD">
        <w:t>LBHAs to complete Part II</w:t>
      </w:r>
      <w:r w:rsidR="0024423B">
        <w:t xml:space="preserve"> if there are new providers interested to </w:t>
      </w:r>
      <w:r w:rsidR="00150FA5">
        <w:t>include procurement plans</w:t>
      </w:r>
      <w:r w:rsidR="0024423B">
        <w:t>.</w:t>
      </w:r>
    </w:p>
    <w:p w14:paraId="4AB2EF24" w14:textId="77777777" w:rsidR="00614323" w:rsidRPr="00106034" w:rsidRDefault="00614323" w:rsidP="00614323">
      <w:pPr>
        <w:pStyle w:val="BodyTextafterheading"/>
        <w:rPr>
          <w:rStyle w:val="Strong"/>
        </w:rPr>
      </w:pPr>
      <w:r w:rsidRPr="00106034">
        <w:rPr>
          <w:rStyle w:val="Strong"/>
        </w:rPr>
        <w:t xml:space="preserve">NOTES: </w:t>
      </w:r>
    </w:p>
    <w:p w14:paraId="14225493" w14:textId="27D4AA85" w:rsidR="00D92CF7" w:rsidRDefault="00D92CF7" w:rsidP="000D2FC9">
      <w:pPr>
        <w:pStyle w:val="BodyText"/>
        <w:numPr>
          <w:ilvl w:val="0"/>
          <w:numId w:val="14"/>
        </w:numPr>
      </w:pPr>
      <w:r>
        <w:t>This process applies only to services funded through the Mental Health Performance Contract Notebook (</w:t>
      </w:r>
      <w:r w:rsidR="00B95E56">
        <w:t>MH/</w:t>
      </w:r>
      <w:r>
        <w:t xml:space="preserve">PCN); it does not cover services funded through Medicaid Managed Care. Throughout the document, </w:t>
      </w:r>
      <w:r w:rsidR="00D778F1">
        <w:t xml:space="preserve">only </w:t>
      </w:r>
      <w:r>
        <w:t>r</w:t>
      </w:r>
      <w:r w:rsidR="00A65E36">
        <w:t>eport</w:t>
      </w:r>
      <w:r>
        <w:t xml:space="preserve"> data for the non-Medicaid population.</w:t>
      </w:r>
    </w:p>
    <w:p w14:paraId="08C5CD84" w14:textId="35384270" w:rsidR="00346B9E" w:rsidRDefault="00346B9E" w:rsidP="000D2FC9">
      <w:pPr>
        <w:pStyle w:val="BodyText"/>
        <w:numPr>
          <w:ilvl w:val="0"/>
          <w:numId w:val="14"/>
        </w:numPr>
      </w:pPr>
      <w:r w:rsidRPr="00346B9E">
        <w:t>The requirements for network development pertain only to provider organizations and complete levels of care or specialty services. Local needs and priorities govern routine or discrete outpatient services and services provided by individual practitioners, and these services are not part of the assessment of provider availability or plans for procurement.</w:t>
      </w:r>
    </w:p>
    <w:p w14:paraId="6243A37E" w14:textId="5373F251" w:rsidR="006A0449" w:rsidRDefault="005D2437">
      <w:pPr>
        <w:pStyle w:val="BodyText"/>
        <w:numPr>
          <w:ilvl w:val="0"/>
          <w:numId w:val="14"/>
        </w:numPr>
      </w:pPr>
      <w:r>
        <w:t>When completing the template, ensure conciseness, specificity, and use bullet points where possible, providing information only for the period since submitting the</w:t>
      </w:r>
      <w:r w:rsidR="00463E92">
        <w:t xml:space="preserve"> fiscal year </w:t>
      </w:r>
      <w:r>
        <w:t xml:space="preserve">2023 LPND plan and adding rows </w:t>
      </w:r>
      <w:r w:rsidR="00C5242B">
        <w:t xml:space="preserve">in tables </w:t>
      </w:r>
      <w:r>
        <w:t xml:space="preserve">as necessary </w:t>
      </w:r>
      <w:r w:rsidR="00C5242B">
        <w:t>for responses</w:t>
      </w:r>
      <w:r>
        <w:t>.</w:t>
      </w:r>
      <w:r w:rsidR="006A0449">
        <w:br w:type="page"/>
      </w:r>
    </w:p>
    <w:p w14:paraId="3FB0C60C" w14:textId="5127CB6E" w:rsidR="002E77BD" w:rsidRPr="004048AB" w:rsidRDefault="002E77BD" w:rsidP="00162344">
      <w:pPr>
        <w:pStyle w:val="Heading2"/>
      </w:pPr>
      <w:r w:rsidRPr="006A0449">
        <w:lastRenderedPageBreak/>
        <w:t>PART I: Required for all LMHAs and</w:t>
      </w:r>
      <w:r w:rsidR="004048AB">
        <w:t xml:space="preserve"> </w:t>
      </w:r>
      <w:r w:rsidRPr="006A0449">
        <w:t>LBHAs</w:t>
      </w:r>
    </w:p>
    <w:p w14:paraId="7BAA9851" w14:textId="7EB42B0D" w:rsidR="002E77BD" w:rsidRPr="00D778F1" w:rsidRDefault="002E77BD" w:rsidP="00162344">
      <w:pPr>
        <w:pStyle w:val="Heading3"/>
        <w:rPr>
          <w:rStyle w:val="Strong"/>
          <w:bCs w:val="0"/>
        </w:rPr>
      </w:pPr>
      <w:r w:rsidRPr="00D778F1">
        <w:rPr>
          <w:rStyle w:val="Strong"/>
          <w:b/>
          <w:bCs w:val="0"/>
        </w:rPr>
        <w:t xml:space="preserve">Local Service Area </w:t>
      </w:r>
    </w:p>
    <w:p w14:paraId="5AA25316" w14:textId="0A89B5B1" w:rsidR="002E77BD" w:rsidRDefault="002E77BD" w:rsidP="006F442D">
      <w:pPr>
        <w:pStyle w:val="BodyTextafterheading"/>
        <w:numPr>
          <w:ilvl w:val="0"/>
          <w:numId w:val="16"/>
        </w:numPr>
      </w:pPr>
      <w:r>
        <w:t xml:space="preserve">Provide information </w:t>
      </w:r>
      <w:r w:rsidR="00C8295F">
        <w:t xml:space="preserve">in </w:t>
      </w:r>
      <w:r w:rsidR="00A61916">
        <w:t>t</w:t>
      </w:r>
      <w:r w:rsidR="00C8295F">
        <w:t xml:space="preserve">able 1 </w:t>
      </w:r>
      <w:r>
        <w:t>about your local service area</w:t>
      </w:r>
      <w:r w:rsidR="003D3B8E">
        <w:t xml:space="preserve"> using data fro</w:t>
      </w:r>
      <w:r w:rsidR="00A26F18">
        <w:t xml:space="preserve">m the most recent Mental and Behavioral Health Outpatient Warehouse (MBOW) </w:t>
      </w:r>
      <w:r w:rsidR="007B0FC3">
        <w:t xml:space="preserve">data set on LMHA or LBHA </w:t>
      </w:r>
      <w:r w:rsidR="00240C16">
        <w:t>Area and Population Stat</w:t>
      </w:r>
      <w:r w:rsidR="00D778F1">
        <w:t>istic</w:t>
      </w:r>
      <w:r w:rsidR="00240C16">
        <w:t xml:space="preserve">s, found in the MBOW’s General Warehouse folder. </w:t>
      </w:r>
    </w:p>
    <w:p w14:paraId="205A4FFB" w14:textId="1E6724D7" w:rsidR="002E77BD" w:rsidRPr="00F976EC" w:rsidRDefault="0040651B" w:rsidP="00E803C2">
      <w:pPr>
        <w:pStyle w:val="BodyTextafterheading"/>
        <w:spacing w:after="0"/>
        <w:rPr>
          <w:rStyle w:val="Strong"/>
        </w:rPr>
      </w:pPr>
      <w:r w:rsidRPr="00F976EC">
        <w:rPr>
          <w:rStyle w:val="Strong"/>
        </w:rPr>
        <w:t>Table 1</w:t>
      </w:r>
      <w:r w:rsidR="00E803C2">
        <w:rPr>
          <w:rStyle w:val="Strong"/>
        </w:rPr>
        <w:t xml:space="preserve">: Area and Population Statistics </w:t>
      </w:r>
    </w:p>
    <w:tbl>
      <w:tblPr>
        <w:tblStyle w:val="HHSTableforTextData"/>
        <w:tblW w:w="0" w:type="auto"/>
        <w:tblLook w:val="04A0" w:firstRow="1" w:lastRow="0" w:firstColumn="1" w:lastColumn="0" w:noHBand="0" w:noVBand="1"/>
      </w:tblPr>
      <w:tblGrid>
        <w:gridCol w:w="4675"/>
        <w:gridCol w:w="4675"/>
      </w:tblGrid>
      <w:tr w:rsidR="004C7ABA" w14:paraId="4AF3BF8F" w14:textId="77777777" w:rsidTr="004C7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E77492A" w14:textId="409650AD" w:rsidR="004C7ABA" w:rsidRDefault="004C7ABA" w:rsidP="002E77BD">
            <w:pPr>
              <w:pStyle w:val="BodyTextafterheading"/>
            </w:pPr>
            <w:r>
              <w:t>Population</w:t>
            </w:r>
          </w:p>
        </w:tc>
        <w:tc>
          <w:tcPr>
            <w:tcW w:w="4675" w:type="dxa"/>
          </w:tcPr>
          <w:p w14:paraId="313EA2AE" w14:textId="0444022B" w:rsidR="004C7ABA" w:rsidRDefault="004476CF" w:rsidP="002E77BD">
            <w:pPr>
              <w:pStyle w:val="BodyTextafterheading"/>
              <w:cnfStyle w:val="100000000000" w:firstRow="1" w:lastRow="0" w:firstColumn="0" w:lastColumn="0" w:oddVBand="0" w:evenVBand="0" w:oddHBand="0" w:evenHBand="0" w:firstRowFirstColumn="0" w:firstRowLastColumn="0" w:lastRowFirstColumn="0" w:lastRowLastColumn="0"/>
            </w:pPr>
            <w:r>
              <w:t>LMHA or LBHA Data</w:t>
            </w:r>
          </w:p>
        </w:tc>
      </w:tr>
      <w:tr w:rsidR="004C7ABA" w14:paraId="2259F294" w14:textId="77777777" w:rsidTr="004C7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4089C55" w14:textId="4B4785B1" w:rsidR="004C7ABA" w:rsidRDefault="003E0050" w:rsidP="002E77BD">
            <w:pPr>
              <w:pStyle w:val="BodyTextafterheading"/>
            </w:pPr>
            <w:r>
              <w:t>Square miles</w:t>
            </w:r>
          </w:p>
        </w:tc>
        <w:tc>
          <w:tcPr>
            <w:tcW w:w="4675" w:type="dxa"/>
          </w:tcPr>
          <w:p w14:paraId="59621203" w14:textId="0637F7B3" w:rsidR="004C7ABA" w:rsidRDefault="00252900" w:rsidP="003F1A7D">
            <w:pPr>
              <w:pStyle w:val="BodyTextafterheading"/>
              <w:cnfStyle w:val="000000100000" w:firstRow="0" w:lastRow="0" w:firstColumn="0" w:lastColumn="0" w:oddVBand="0" w:evenVBand="0" w:oddHBand="1" w:evenHBand="0" w:firstRowFirstColumn="0" w:firstRowLastColumn="0" w:lastRowFirstColumn="0" w:lastRowLastColumn="0"/>
            </w:pPr>
            <w:r>
              <w:t>6,903</w:t>
            </w:r>
          </w:p>
        </w:tc>
      </w:tr>
      <w:tr w:rsidR="004C7ABA" w14:paraId="4101F938" w14:textId="77777777" w:rsidTr="004C7A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FBBEA69" w14:textId="759AF910" w:rsidR="004C7ABA" w:rsidRDefault="003E0050" w:rsidP="002E77BD">
            <w:pPr>
              <w:pStyle w:val="BodyTextafterheading"/>
            </w:pPr>
            <w:r>
              <w:t>Population density</w:t>
            </w:r>
          </w:p>
        </w:tc>
        <w:tc>
          <w:tcPr>
            <w:tcW w:w="4675" w:type="dxa"/>
          </w:tcPr>
          <w:p w14:paraId="171CA566" w14:textId="4037DCE3" w:rsidR="004C7ABA" w:rsidRDefault="003F1A7D" w:rsidP="002E77BD">
            <w:pPr>
              <w:pStyle w:val="BodyTextafterheading"/>
              <w:cnfStyle w:val="000000010000" w:firstRow="0" w:lastRow="0" w:firstColumn="0" w:lastColumn="0" w:oddVBand="0" w:evenVBand="0" w:oddHBand="0" w:evenHBand="1" w:firstRowFirstColumn="0" w:firstRowLastColumn="0" w:lastRowFirstColumn="0" w:lastRowLastColumn="0"/>
            </w:pPr>
            <w:r>
              <w:t>1,233</w:t>
            </w:r>
          </w:p>
        </w:tc>
      </w:tr>
      <w:tr w:rsidR="003E0050" w14:paraId="5C5DC7E7" w14:textId="77777777" w:rsidTr="004C7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CB49042" w14:textId="0C690C87" w:rsidR="003E0050" w:rsidRDefault="003E0050" w:rsidP="002E77BD">
            <w:pPr>
              <w:pStyle w:val="BodyTextafterheading"/>
            </w:pPr>
            <w:r>
              <w:t>Total number of counties</w:t>
            </w:r>
          </w:p>
        </w:tc>
        <w:tc>
          <w:tcPr>
            <w:tcW w:w="4675" w:type="dxa"/>
          </w:tcPr>
          <w:p w14:paraId="160F19CF" w14:textId="4F9FEA83" w:rsidR="003E0050" w:rsidRDefault="0018390A" w:rsidP="002E77BD">
            <w:pPr>
              <w:pStyle w:val="BodyTextafterheading"/>
              <w:cnfStyle w:val="000000100000" w:firstRow="0" w:lastRow="0" w:firstColumn="0" w:lastColumn="0" w:oddVBand="0" w:evenVBand="0" w:oddHBand="1" w:evenHBand="0" w:firstRowFirstColumn="0" w:firstRowLastColumn="0" w:lastRowFirstColumn="0" w:lastRowLastColumn="0"/>
            </w:pPr>
            <w:r>
              <w:t>8</w:t>
            </w:r>
          </w:p>
        </w:tc>
      </w:tr>
      <w:tr w:rsidR="004C7ABA" w14:paraId="4661FEE3" w14:textId="77777777" w:rsidTr="004C7A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3C2B7E8" w14:textId="7C6C66FE" w:rsidR="004C7ABA" w:rsidRDefault="003E0050" w:rsidP="002E77BD">
            <w:pPr>
              <w:pStyle w:val="BodyTextafterheading"/>
            </w:pPr>
            <w:r>
              <w:t>Number of rural counties</w:t>
            </w:r>
          </w:p>
        </w:tc>
        <w:tc>
          <w:tcPr>
            <w:tcW w:w="4675" w:type="dxa"/>
          </w:tcPr>
          <w:p w14:paraId="6015FB99" w14:textId="4ED1F3F0" w:rsidR="004C7ABA" w:rsidRDefault="00BC1D68" w:rsidP="002E77BD">
            <w:pPr>
              <w:pStyle w:val="BodyTextafterheading"/>
              <w:cnfStyle w:val="000000010000" w:firstRow="0" w:lastRow="0" w:firstColumn="0" w:lastColumn="0" w:oddVBand="0" w:evenVBand="0" w:oddHBand="0" w:evenHBand="1" w:firstRowFirstColumn="0" w:firstRowLastColumn="0" w:lastRowFirstColumn="0" w:lastRowLastColumn="0"/>
            </w:pPr>
            <w:r>
              <w:t>5</w:t>
            </w:r>
          </w:p>
        </w:tc>
      </w:tr>
      <w:tr w:rsidR="004C7ABA" w14:paraId="5E4ED29F" w14:textId="77777777" w:rsidTr="004C7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87C304B" w14:textId="723C741C" w:rsidR="004C7ABA" w:rsidRDefault="003E0050" w:rsidP="002E77BD">
            <w:pPr>
              <w:pStyle w:val="BodyTextafterheading"/>
            </w:pPr>
            <w:r>
              <w:t>Number of urban counties</w:t>
            </w:r>
          </w:p>
        </w:tc>
        <w:tc>
          <w:tcPr>
            <w:tcW w:w="4675" w:type="dxa"/>
          </w:tcPr>
          <w:p w14:paraId="0F558152" w14:textId="67882BE1" w:rsidR="004C7ABA" w:rsidRDefault="00BC1D68" w:rsidP="002E77BD">
            <w:pPr>
              <w:pStyle w:val="BodyTextafterheading"/>
              <w:cnfStyle w:val="000000100000" w:firstRow="0" w:lastRow="0" w:firstColumn="0" w:lastColumn="0" w:oddVBand="0" w:evenVBand="0" w:oddHBand="1" w:evenHBand="0" w:firstRowFirstColumn="0" w:firstRowLastColumn="0" w:lastRowFirstColumn="0" w:lastRowLastColumn="0"/>
            </w:pPr>
            <w:r>
              <w:t>3</w:t>
            </w:r>
          </w:p>
        </w:tc>
      </w:tr>
    </w:tbl>
    <w:p w14:paraId="4CE52545" w14:textId="7BB0E533" w:rsidR="002E77BD" w:rsidRPr="005D7531" w:rsidRDefault="002E77BD" w:rsidP="000967CA">
      <w:pPr>
        <w:pStyle w:val="Heading3"/>
        <w:rPr>
          <w:rStyle w:val="Strong"/>
          <w:bCs w:val="0"/>
        </w:rPr>
      </w:pPr>
      <w:r w:rsidRPr="005D7531">
        <w:rPr>
          <w:rStyle w:val="Strong"/>
          <w:b/>
          <w:bCs w:val="0"/>
        </w:rPr>
        <w:t>Current Services and Contracts</w:t>
      </w:r>
    </w:p>
    <w:p w14:paraId="0DD3A07C" w14:textId="79E3AB13" w:rsidR="002E77BD" w:rsidRDefault="002E77BD" w:rsidP="00C079CD">
      <w:pPr>
        <w:pStyle w:val="BodyTextafterheading"/>
        <w:numPr>
          <w:ilvl w:val="0"/>
          <w:numId w:val="16"/>
        </w:numPr>
      </w:pPr>
      <w:r>
        <w:t xml:space="preserve">Complete </w:t>
      </w:r>
      <w:r w:rsidR="00BF601F">
        <w:t>t</w:t>
      </w:r>
      <w:r w:rsidR="00C079CD">
        <w:t>able</w:t>
      </w:r>
      <w:r w:rsidR="00636EB9">
        <w:t>s</w:t>
      </w:r>
      <w:r w:rsidR="00C079CD">
        <w:t xml:space="preserve"> </w:t>
      </w:r>
      <w:r w:rsidR="000E09DF">
        <w:t>2</w:t>
      </w:r>
      <w:r w:rsidR="00636EB9">
        <w:t xml:space="preserve"> t</w:t>
      </w:r>
      <w:r w:rsidR="004D0536">
        <w:t xml:space="preserve">hrough </w:t>
      </w:r>
      <w:r w:rsidR="000E09DF">
        <w:t>4</w:t>
      </w:r>
      <w:r>
        <w:t xml:space="preserve"> to provide an overview of current services and contracts.</w:t>
      </w:r>
    </w:p>
    <w:p w14:paraId="0AC0756A" w14:textId="5C8FB9AB" w:rsidR="002E77BD" w:rsidRDefault="002E77BD" w:rsidP="00C079CD">
      <w:pPr>
        <w:pStyle w:val="BodyTextafterheading"/>
        <w:numPr>
          <w:ilvl w:val="0"/>
          <w:numId w:val="16"/>
        </w:numPr>
      </w:pPr>
      <w:r>
        <w:t xml:space="preserve">List the service capacity based on the most recent MBOW data set. </w:t>
      </w:r>
    </w:p>
    <w:p w14:paraId="1465181C" w14:textId="77DDFD05" w:rsidR="002E77BD" w:rsidRDefault="002E77BD" w:rsidP="00C079CD">
      <w:pPr>
        <w:pStyle w:val="BodyTextafterheading"/>
        <w:numPr>
          <w:ilvl w:val="1"/>
          <w:numId w:val="16"/>
        </w:numPr>
      </w:pPr>
      <w:r>
        <w:t xml:space="preserve">For </w:t>
      </w:r>
      <w:r w:rsidR="005D7531">
        <w:t>l</w:t>
      </w:r>
      <w:r>
        <w:t xml:space="preserve">evels of </w:t>
      </w:r>
      <w:r w:rsidR="005D7531">
        <w:t>c</w:t>
      </w:r>
      <w:r>
        <w:t>are</w:t>
      </w:r>
      <w:r w:rsidR="005D7531">
        <w:t xml:space="preserve"> (LOC)</w:t>
      </w:r>
      <w:r>
        <w:t>, list the non-Medicaid average monthly served</w:t>
      </w:r>
      <w:r w:rsidR="007A5387">
        <w:t xml:space="preserve"> </w:t>
      </w:r>
      <w:r>
        <w:t xml:space="preserve">found in MBOW using data from the </w:t>
      </w:r>
      <w:r w:rsidR="000062BC">
        <w:t xml:space="preserve">LOC-A by Center (Non-Medicaid Only and All Clients) </w:t>
      </w:r>
      <w:r>
        <w:t>report in the General Warehouse folder</w:t>
      </w:r>
      <w:r w:rsidR="000062BC">
        <w:t>.</w:t>
      </w:r>
    </w:p>
    <w:p w14:paraId="055AB148" w14:textId="4654213A" w:rsidR="002E77BD" w:rsidRDefault="002E77BD" w:rsidP="00C079CD">
      <w:pPr>
        <w:pStyle w:val="BodyTextafterheading"/>
        <w:numPr>
          <w:ilvl w:val="1"/>
          <w:numId w:val="16"/>
        </w:numPr>
      </w:pPr>
      <w:r>
        <w:t>For residential programs, list the total number of beds and total discharges (all clients).</w:t>
      </w:r>
    </w:p>
    <w:p w14:paraId="034FD919" w14:textId="600959D1" w:rsidR="002E77BD" w:rsidRDefault="002E77BD" w:rsidP="00C079CD">
      <w:pPr>
        <w:pStyle w:val="BodyTextafterheading"/>
        <w:numPr>
          <w:ilvl w:val="1"/>
          <w:numId w:val="16"/>
        </w:numPr>
      </w:pPr>
      <w:r>
        <w:t>For other services, identify the unit of service (all clients).</w:t>
      </w:r>
    </w:p>
    <w:p w14:paraId="29484191" w14:textId="68B1E12F" w:rsidR="002E77BD" w:rsidRDefault="002E77BD" w:rsidP="00C079CD">
      <w:pPr>
        <w:pStyle w:val="BodyTextafterheading"/>
        <w:numPr>
          <w:ilvl w:val="1"/>
          <w:numId w:val="16"/>
        </w:numPr>
      </w:pPr>
      <w:r>
        <w:lastRenderedPageBreak/>
        <w:t>Estimate the service capacity</w:t>
      </w:r>
      <w:r w:rsidR="00341CFE">
        <w:t xml:space="preserve"> for fiscal year 2025</w:t>
      </w:r>
      <w:r>
        <w:t xml:space="preserve">. If no change is anticipated, enter the same information </w:t>
      </w:r>
      <w:r w:rsidR="002B6788">
        <w:t>previous column</w:t>
      </w:r>
      <w:r w:rsidRPr="002B6788">
        <w:t>.</w:t>
      </w:r>
    </w:p>
    <w:p w14:paraId="1143BDC3" w14:textId="75BE1BE4" w:rsidR="004A5EE8" w:rsidRDefault="002E77BD" w:rsidP="00C079CD">
      <w:pPr>
        <w:pStyle w:val="BodyTextafterheading"/>
        <w:numPr>
          <w:ilvl w:val="1"/>
          <w:numId w:val="16"/>
        </w:numPr>
      </w:pPr>
      <w:r>
        <w:t xml:space="preserve">State the total percent of each service contracted out to external providers in </w:t>
      </w:r>
      <w:r w:rsidR="00050A4F">
        <w:t xml:space="preserve">fiscal year </w:t>
      </w:r>
      <w:r w:rsidRPr="00BD456B">
        <w:t>202</w:t>
      </w:r>
      <w:r w:rsidR="002B6788">
        <w:t>4</w:t>
      </w:r>
      <w:r>
        <w:t xml:space="preserve">. </w:t>
      </w:r>
      <w:r w:rsidR="00FA29AA">
        <w:t>F</w:t>
      </w:r>
      <w:r>
        <w:t xml:space="preserve">or </w:t>
      </w:r>
      <w:r w:rsidR="004B2314">
        <w:t>LOCs</w:t>
      </w:r>
      <w:r>
        <w:t xml:space="preserve">, </w:t>
      </w:r>
      <w:proofErr w:type="gramStart"/>
      <w:r>
        <w:t>do</w:t>
      </w:r>
      <w:proofErr w:type="gramEnd"/>
      <w:r>
        <w:t xml:space="preserve"> not include contracts for discrete services within those levels of care when calculating percentages. </w:t>
      </w:r>
    </w:p>
    <w:p w14:paraId="45987BA9" w14:textId="31F07B45" w:rsidR="004A5EE8" w:rsidRPr="00F976EC" w:rsidRDefault="004A5EE8" w:rsidP="00E83467">
      <w:pPr>
        <w:pStyle w:val="BodyText"/>
        <w:spacing w:after="0"/>
        <w:rPr>
          <w:rStyle w:val="Strong"/>
        </w:rPr>
      </w:pPr>
      <w:r w:rsidRPr="00F976EC">
        <w:rPr>
          <w:rStyle w:val="Strong"/>
        </w:rPr>
        <w:t xml:space="preserve">Table </w:t>
      </w:r>
      <w:r w:rsidR="000E09DF">
        <w:rPr>
          <w:rStyle w:val="Strong"/>
        </w:rPr>
        <w:t>2</w:t>
      </w:r>
      <w:r w:rsidRPr="00F976EC">
        <w:rPr>
          <w:rStyle w:val="Strong"/>
        </w:rPr>
        <w:t xml:space="preserve">: </w:t>
      </w:r>
      <w:r w:rsidR="004B2314">
        <w:rPr>
          <w:rStyle w:val="Strong"/>
        </w:rPr>
        <w:t xml:space="preserve">Service Capacity for </w:t>
      </w:r>
      <w:r w:rsidRPr="00F976EC">
        <w:rPr>
          <w:rStyle w:val="Strong"/>
        </w:rPr>
        <w:t xml:space="preserve">Adult </w:t>
      </w:r>
      <w:r w:rsidR="00BE2B77">
        <w:rPr>
          <w:rStyle w:val="Strong"/>
        </w:rPr>
        <w:t xml:space="preserve">Community Mental Health </w:t>
      </w:r>
      <w:r w:rsidRPr="00F976EC">
        <w:rPr>
          <w:rStyle w:val="Strong"/>
        </w:rPr>
        <w:t xml:space="preserve">Service </w:t>
      </w:r>
      <w:r w:rsidR="005D7531">
        <w:rPr>
          <w:rStyle w:val="Strong"/>
        </w:rPr>
        <w:t>LOC</w:t>
      </w:r>
      <w:r w:rsidR="004B2314">
        <w:rPr>
          <w:rStyle w:val="Strong"/>
        </w:rPr>
        <w:t>s</w:t>
      </w:r>
    </w:p>
    <w:tbl>
      <w:tblPr>
        <w:tblStyle w:val="HHSTableforTextData"/>
        <w:tblW w:w="0" w:type="auto"/>
        <w:tblLook w:val="04A0" w:firstRow="1" w:lastRow="0" w:firstColumn="1" w:lastColumn="0" w:noHBand="0" w:noVBand="1"/>
      </w:tblPr>
      <w:tblGrid>
        <w:gridCol w:w="1525"/>
        <w:gridCol w:w="2430"/>
        <w:gridCol w:w="2430"/>
        <w:gridCol w:w="2965"/>
      </w:tblGrid>
      <w:tr w:rsidR="008E02EC" w14:paraId="5474F352" w14:textId="77777777" w:rsidTr="00D37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050686B9" w14:textId="2CD97491" w:rsidR="008E02EC" w:rsidRDefault="005D7531" w:rsidP="004B2314">
            <w:pPr>
              <w:pStyle w:val="BodyTextafterheading"/>
            </w:pPr>
            <w:r>
              <w:t>LOC</w:t>
            </w:r>
          </w:p>
        </w:tc>
        <w:tc>
          <w:tcPr>
            <w:tcW w:w="2430" w:type="dxa"/>
            <w:vAlign w:val="center"/>
          </w:tcPr>
          <w:p w14:paraId="666B12AA" w14:textId="43747EC7" w:rsidR="008E02EC" w:rsidRDefault="00DC0555" w:rsidP="004B2314">
            <w:pPr>
              <w:pStyle w:val="BodyTextafterheading"/>
              <w:cnfStyle w:val="100000000000" w:firstRow="1" w:lastRow="0" w:firstColumn="0" w:lastColumn="0" w:oddVBand="0" w:evenVBand="0" w:oddHBand="0" w:evenHBand="0" w:firstRowFirstColumn="0" w:firstRowLastColumn="0" w:lastRowFirstColumn="0" w:lastRowLastColumn="0"/>
            </w:pPr>
            <w:r>
              <w:t>Most recent service capacity (non-Medicaid only)</w:t>
            </w:r>
          </w:p>
        </w:tc>
        <w:tc>
          <w:tcPr>
            <w:tcW w:w="2430" w:type="dxa"/>
            <w:vAlign w:val="center"/>
          </w:tcPr>
          <w:p w14:paraId="34B7EB16" w14:textId="314D1B2F" w:rsidR="008E02EC" w:rsidRDefault="00DC0555" w:rsidP="004B2314">
            <w:pPr>
              <w:pStyle w:val="BodyTextafterheading"/>
              <w:cnfStyle w:val="100000000000" w:firstRow="1" w:lastRow="0" w:firstColumn="0" w:lastColumn="0" w:oddVBand="0" w:evenVBand="0" w:oddHBand="0" w:evenHBand="0" w:firstRowFirstColumn="0" w:firstRowLastColumn="0" w:lastRowFirstColumn="0" w:lastRowLastColumn="0"/>
            </w:pPr>
            <w:r>
              <w:t xml:space="preserve">Estimated FY </w:t>
            </w:r>
            <w:r w:rsidR="00297272">
              <w:t>2025</w:t>
            </w:r>
            <w:r>
              <w:t xml:space="preserve"> service capacit</w:t>
            </w:r>
            <w:r w:rsidR="00297272">
              <w:t>y (</w:t>
            </w:r>
            <w:r>
              <w:t>non-Medicaid only)</w:t>
            </w:r>
          </w:p>
        </w:tc>
        <w:tc>
          <w:tcPr>
            <w:tcW w:w="2965" w:type="dxa"/>
            <w:vAlign w:val="center"/>
          </w:tcPr>
          <w:p w14:paraId="0EC270FB" w14:textId="289002C4" w:rsidR="008E02EC" w:rsidRDefault="005D7531" w:rsidP="004B2314">
            <w:pPr>
              <w:pStyle w:val="BodyTextafterheading"/>
              <w:cnfStyle w:val="100000000000" w:firstRow="1" w:lastRow="0" w:firstColumn="0" w:lastColumn="0" w:oddVBand="0" w:evenVBand="0" w:oddHBand="0" w:evenHBand="0" w:firstRowFirstColumn="0" w:firstRowLastColumn="0" w:lastRowFirstColumn="0" w:lastRowLastColumn="0"/>
            </w:pPr>
            <w:r>
              <w:t>%</w:t>
            </w:r>
            <w:r w:rsidR="003647A9">
              <w:t xml:space="preserve"> total non-Medicaid capacity provided by external providers in FY</w:t>
            </w:r>
            <w:r w:rsidR="00E83467">
              <w:t xml:space="preserve"> </w:t>
            </w:r>
            <w:r w:rsidR="003647A9">
              <w:t>2</w:t>
            </w:r>
            <w:r w:rsidR="00297272">
              <w:t>025</w:t>
            </w:r>
          </w:p>
        </w:tc>
      </w:tr>
      <w:tr w:rsidR="008E02EC" w14:paraId="7377D226"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6B28CD41" w14:textId="380520ED" w:rsidR="008E02EC" w:rsidRDefault="00502770" w:rsidP="002E77BD">
            <w:pPr>
              <w:pStyle w:val="BodyTextafterheading"/>
            </w:pPr>
            <w:r>
              <w:t>Adult LOC 1m</w:t>
            </w:r>
          </w:p>
        </w:tc>
        <w:tc>
          <w:tcPr>
            <w:tcW w:w="2430" w:type="dxa"/>
          </w:tcPr>
          <w:p w14:paraId="17572609" w14:textId="4CED4F28" w:rsidR="008E02EC" w:rsidRDefault="00C9679D" w:rsidP="002E77BD">
            <w:pPr>
              <w:pStyle w:val="BodyTextafterheading"/>
              <w:cnfStyle w:val="000000100000" w:firstRow="0" w:lastRow="0" w:firstColumn="0" w:lastColumn="0" w:oddVBand="0" w:evenVBand="0" w:oddHBand="1" w:evenHBand="0" w:firstRowFirstColumn="0" w:firstRowLastColumn="0" w:lastRowFirstColumn="0" w:lastRowLastColumn="0"/>
            </w:pPr>
            <w:r>
              <w:t>0</w:t>
            </w:r>
          </w:p>
        </w:tc>
        <w:tc>
          <w:tcPr>
            <w:tcW w:w="2430" w:type="dxa"/>
          </w:tcPr>
          <w:p w14:paraId="055ADEA5" w14:textId="7D09FEA2" w:rsidR="008E02EC" w:rsidRDefault="000607AA" w:rsidP="002E77BD">
            <w:pPr>
              <w:pStyle w:val="BodyTextafterheading"/>
              <w:cnfStyle w:val="000000100000" w:firstRow="0" w:lastRow="0" w:firstColumn="0" w:lastColumn="0" w:oddVBand="0" w:evenVBand="0" w:oddHBand="1" w:evenHBand="0" w:firstRowFirstColumn="0" w:firstRowLastColumn="0" w:lastRowFirstColumn="0" w:lastRowLastColumn="0"/>
            </w:pPr>
            <w:r>
              <w:t>0</w:t>
            </w:r>
          </w:p>
        </w:tc>
        <w:tc>
          <w:tcPr>
            <w:tcW w:w="2965" w:type="dxa"/>
          </w:tcPr>
          <w:p w14:paraId="0A1C1C56" w14:textId="1EE5456F" w:rsidR="008E02EC" w:rsidRDefault="00D41575" w:rsidP="002E77BD">
            <w:pPr>
              <w:pStyle w:val="BodyTextafterheading"/>
              <w:cnfStyle w:val="000000100000" w:firstRow="0" w:lastRow="0" w:firstColumn="0" w:lastColumn="0" w:oddVBand="0" w:evenVBand="0" w:oddHBand="1" w:evenHBand="0" w:firstRowFirstColumn="0" w:firstRowLastColumn="0" w:lastRowFirstColumn="0" w:lastRowLastColumn="0"/>
            </w:pPr>
            <w:r>
              <w:t>0%</w:t>
            </w:r>
          </w:p>
        </w:tc>
      </w:tr>
      <w:tr w:rsidR="008E02EC" w14:paraId="09943027"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56C603E0" w14:textId="7621D68E" w:rsidR="008E02EC" w:rsidRDefault="00502770" w:rsidP="002E77BD">
            <w:pPr>
              <w:pStyle w:val="BodyTextafterheading"/>
            </w:pPr>
            <w:r>
              <w:t>Adult LOC 1s</w:t>
            </w:r>
          </w:p>
        </w:tc>
        <w:tc>
          <w:tcPr>
            <w:tcW w:w="2430" w:type="dxa"/>
          </w:tcPr>
          <w:p w14:paraId="058F7CD3" w14:textId="32EDC73D" w:rsidR="008E02EC" w:rsidRDefault="0023332D" w:rsidP="002E77BD">
            <w:pPr>
              <w:pStyle w:val="BodyTextafterheading"/>
              <w:cnfStyle w:val="000000010000" w:firstRow="0" w:lastRow="0" w:firstColumn="0" w:lastColumn="0" w:oddVBand="0" w:evenVBand="0" w:oddHBand="0" w:evenHBand="1" w:firstRowFirstColumn="0" w:firstRowLastColumn="0" w:lastRowFirstColumn="0" w:lastRowLastColumn="0"/>
            </w:pPr>
            <w:r>
              <w:t>2</w:t>
            </w:r>
            <w:r w:rsidR="00C87574">
              <w:t>,</w:t>
            </w:r>
            <w:r>
              <w:t>636</w:t>
            </w:r>
          </w:p>
        </w:tc>
        <w:tc>
          <w:tcPr>
            <w:tcW w:w="2430" w:type="dxa"/>
          </w:tcPr>
          <w:p w14:paraId="6CB452F6" w14:textId="67013537" w:rsidR="00120FE0" w:rsidRPr="00120FE0" w:rsidRDefault="00120FE0" w:rsidP="00120FE0">
            <w:pPr>
              <w:pStyle w:val="BodyTextafterheading"/>
              <w:cnfStyle w:val="000000010000" w:firstRow="0" w:lastRow="0" w:firstColumn="0" w:lastColumn="0" w:oddVBand="0" w:evenVBand="0" w:oddHBand="0" w:evenHBand="1" w:firstRowFirstColumn="0" w:firstRowLastColumn="0" w:lastRowFirstColumn="0" w:lastRowLastColumn="0"/>
            </w:pPr>
            <w:r>
              <w:t>2</w:t>
            </w:r>
            <w:r w:rsidR="00C87574">
              <w:t>,</w:t>
            </w:r>
            <w:r>
              <w:t>636</w:t>
            </w:r>
          </w:p>
        </w:tc>
        <w:tc>
          <w:tcPr>
            <w:tcW w:w="2965" w:type="dxa"/>
          </w:tcPr>
          <w:p w14:paraId="5CDF9CEE" w14:textId="0C4B357D" w:rsidR="008E02EC" w:rsidRDefault="00D41575" w:rsidP="002E77BD">
            <w:pPr>
              <w:pStyle w:val="BodyTextafterheading"/>
              <w:cnfStyle w:val="000000010000" w:firstRow="0" w:lastRow="0" w:firstColumn="0" w:lastColumn="0" w:oddVBand="0" w:evenVBand="0" w:oddHBand="0" w:evenHBand="1" w:firstRowFirstColumn="0" w:firstRowLastColumn="0" w:lastRowFirstColumn="0" w:lastRowLastColumn="0"/>
            </w:pPr>
            <w:r>
              <w:t>0%</w:t>
            </w:r>
          </w:p>
        </w:tc>
      </w:tr>
      <w:tr w:rsidR="008E02EC" w14:paraId="5F947237"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15080BE8" w14:textId="25FC0BFD" w:rsidR="008E02EC" w:rsidRDefault="00502770" w:rsidP="002E77BD">
            <w:pPr>
              <w:pStyle w:val="BodyTextafterheading"/>
            </w:pPr>
            <w:r>
              <w:t>Adult LOC 2</w:t>
            </w:r>
          </w:p>
        </w:tc>
        <w:tc>
          <w:tcPr>
            <w:tcW w:w="2430" w:type="dxa"/>
          </w:tcPr>
          <w:p w14:paraId="70BD7E8C" w14:textId="06E1CE49" w:rsidR="008E02EC" w:rsidRDefault="00B32D99" w:rsidP="002E77BD">
            <w:pPr>
              <w:pStyle w:val="BodyTextafterheading"/>
              <w:cnfStyle w:val="000000100000" w:firstRow="0" w:lastRow="0" w:firstColumn="0" w:lastColumn="0" w:oddVBand="0" w:evenVBand="0" w:oddHBand="1" w:evenHBand="0" w:firstRowFirstColumn="0" w:firstRowLastColumn="0" w:lastRowFirstColumn="0" w:lastRowLastColumn="0"/>
            </w:pPr>
            <w:r>
              <w:t>5</w:t>
            </w:r>
            <w:r w:rsidR="00C87574">
              <w:t>30</w:t>
            </w:r>
          </w:p>
        </w:tc>
        <w:tc>
          <w:tcPr>
            <w:tcW w:w="2430" w:type="dxa"/>
          </w:tcPr>
          <w:p w14:paraId="30ACB4B3" w14:textId="63474A67" w:rsidR="008E02EC" w:rsidRDefault="000607AA" w:rsidP="002E77BD">
            <w:pPr>
              <w:pStyle w:val="BodyTextafterheading"/>
              <w:cnfStyle w:val="000000100000" w:firstRow="0" w:lastRow="0" w:firstColumn="0" w:lastColumn="0" w:oddVBand="0" w:evenVBand="0" w:oddHBand="1" w:evenHBand="0" w:firstRowFirstColumn="0" w:firstRowLastColumn="0" w:lastRowFirstColumn="0" w:lastRowLastColumn="0"/>
            </w:pPr>
            <w:r>
              <w:t>5</w:t>
            </w:r>
            <w:r w:rsidR="00043E3B">
              <w:t>30</w:t>
            </w:r>
          </w:p>
        </w:tc>
        <w:tc>
          <w:tcPr>
            <w:tcW w:w="2965" w:type="dxa"/>
          </w:tcPr>
          <w:p w14:paraId="6C9D09F8" w14:textId="50CBB8A0" w:rsidR="008E02EC" w:rsidRDefault="00D41575" w:rsidP="002E77BD">
            <w:pPr>
              <w:pStyle w:val="BodyTextafterheading"/>
              <w:cnfStyle w:val="000000100000" w:firstRow="0" w:lastRow="0" w:firstColumn="0" w:lastColumn="0" w:oddVBand="0" w:evenVBand="0" w:oddHBand="1" w:evenHBand="0" w:firstRowFirstColumn="0" w:firstRowLastColumn="0" w:lastRowFirstColumn="0" w:lastRowLastColumn="0"/>
            </w:pPr>
            <w:r>
              <w:t>0%</w:t>
            </w:r>
          </w:p>
        </w:tc>
      </w:tr>
      <w:tr w:rsidR="008E02EC" w14:paraId="6200AE74"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5CEEA363" w14:textId="118AD972" w:rsidR="008E02EC" w:rsidRDefault="00502770" w:rsidP="002E77BD">
            <w:pPr>
              <w:pStyle w:val="BodyTextafterheading"/>
            </w:pPr>
            <w:r>
              <w:t>Adult LOC 3</w:t>
            </w:r>
          </w:p>
        </w:tc>
        <w:tc>
          <w:tcPr>
            <w:tcW w:w="2430" w:type="dxa"/>
          </w:tcPr>
          <w:p w14:paraId="49FEED06" w14:textId="750EC1B5" w:rsidR="008E02EC" w:rsidRDefault="00B32D99" w:rsidP="002E77BD">
            <w:pPr>
              <w:pStyle w:val="BodyTextafterheading"/>
              <w:cnfStyle w:val="000000010000" w:firstRow="0" w:lastRow="0" w:firstColumn="0" w:lastColumn="0" w:oddVBand="0" w:evenVBand="0" w:oddHBand="0" w:evenHBand="1" w:firstRowFirstColumn="0" w:firstRowLastColumn="0" w:lastRowFirstColumn="0" w:lastRowLastColumn="0"/>
            </w:pPr>
            <w:r>
              <w:t>2</w:t>
            </w:r>
            <w:r w:rsidR="00861C37">
              <w:t>04</w:t>
            </w:r>
          </w:p>
        </w:tc>
        <w:tc>
          <w:tcPr>
            <w:tcW w:w="2430" w:type="dxa"/>
          </w:tcPr>
          <w:p w14:paraId="53D7D3C6" w14:textId="5075FD33" w:rsidR="008E02EC" w:rsidRDefault="000607AA" w:rsidP="002E77BD">
            <w:pPr>
              <w:pStyle w:val="BodyTextafterheading"/>
              <w:cnfStyle w:val="000000010000" w:firstRow="0" w:lastRow="0" w:firstColumn="0" w:lastColumn="0" w:oddVBand="0" w:evenVBand="0" w:oddHBand="0" w:evenHBand="1" w:firstRowFirstColumn="0" w:firstRowLastColumn="0" w:lastRowFirstColumn="0" w:lastRowLastColumn="0"/>
            </w:pPr>
            <w:r>
              <w:t>2</w:t>
            </w:r>
            <w:r w:rsidR="00861C37">
              <w:t>04</w:t>
            </w:r>
          </w:p>
        </w:tc>
        <w:tc>
          <w:tcPr>
            <w:tcW w:w="2965" w:type="dxa"/>
          </w:tcPr>
          <w:p w14:paraId="19E42F8B" w14:textId="548BCDA8" w:rsidR="008E02EC" w:rsidRDefault="00D41575" w:rsidP="002E77BD">
            <w:pPr>
              <w:pStyle w:val="BodyTextafterheading"/>
              <w:cnfStyle w:val="000000010000" w:firstRow="0" w:lastRow="0" w:firstColumn="0" w:lastColumn="0" w:oddVBand="0" w:evenVBand="0" w:oddHBand="0" w:evenHBand="1" w:firstRowFirstColumn="0" w:firstRowLastColumn="0" w:lastRowFirstColumn="0" w:lastRowLastColumn="0"/>
            </w:pPr>
            <w:r>
              <w:t>0%</w:t>
            </w:r>
          </w:p>
        </w:tc>
      </w:tr>
      <w:tr w:rsidR="00502770" w14:paraId="5CCA182C"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6D28EA62" w14:textId="5026AFEF" w:rsidR="00502770" w:rsidRDefault="00502770" w:rsidP="002E77BD">
            <w:pPr>
              <w:pStyle w:val="BodyTextafterheading"/>
            </w:pPr>
            <w:r>
              <w:t>Adult LOC 4</w:t>
            </w:r>
          </w:p>
        </w:tc>
        <w:tc>
          <w:tcPr>
            <w:tcW w:w="2430" w:type="dxa"/>
          </w:tcPr>
          <w:p w14:paraId="55B49DB9" w14:textId="7DAFA6C5" w:rsidR="00502770" w:rsidRDefault="00EF4FF9" w:rsidP="002E77BD">
            <w:pPr>
              <w:pStyle w:val="BodyTextafterheading"/>
              <w:cnfStyle w:val="000000100000" w:firstRow="0" w:lastRow="0" w:firstColumn="0" w:lastColumn="0" w:oddVBand="0" w:evenVBand="0" w:oddHBand="1" w:evenHBand="0" w:firstRowFirstColumn="0" w:firstRowLastColumn="0" w:lastRowFirstColumn="0" w:lastRowLastColumn="0"/>
            </w:pPr>
            <w:r>
              <w:t>109</w:t>
            </w:r>
          </w:p>
        </w:tc>
        <w:tc>
          <w:tcPr>
            <w:tcW w:w="2430" w:type="dxa"/>
          </w:tcPr>
          <w:p w14:paraId="0D13A03F" w14:textId="414E6AEE" w:rsidR="00502770" w:rsidRDefault="00EF4FF9" w:rsidP="002E77BD">
            <w:pPr>
              <w:pStyle w:val="BodyTextafterheading"/>
              <w:cnfStyle w:val="000000100000" w:firstRow="0" w:lastRow="0" w:firstColumn="0" w:lastColumn="0" w:oddVBand="0" w:evenVBand="0" w:oddHBand="1" w:evenHBand="0" w:firstRowFirstColumn="0" w:firstRowLastColumn="0" w:lastRowFirstColumn="0" w:lastRowLastColumn="0"/>
            </w:pPr>
            <w:r>
              <w:t>109</w:t>
            </w:r>
          </w:p>
        </w:tc>
        <w:tc>
          <w:tcPr>
            <w:tcW w:w="2965" w:type="dxa"/>
          </w:tcPr>
          <w:p w14:paraId="44F742CA" w14:textId="6F6F8112" w:rsidR="00502770" w:rsidRDefault="00D41575" w:rsidP="002E77BD">
            <w:pPr>
              <w:pStyle w:val="BodyTextafterheading"/>
              <w:cnfStyle w:val="000000100000" w:firstRow="0" w:lastRow="0" w:firstColumn="0" w:lastColumn="0" w:oddVBand="0" w:evenVBand="0" w:oddHBand="1" w:evenHBand="0" w:firstRowFirstColumn="0" w:firstRowLastColumn="0" w:lastRowFirstColumn="0" w:lastRowLastColumn="0"/>
            </w:pPr>
            <w:r>
              <w:t>0%</w:t>
            </w:r>
          </w:p>
        </w:tc>
      </w:tr>
      <w:tr w:rsidR="00502770" w14:paraId="36F44EEE"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57218215" w14:textId="6E38A095" w:rsidR="00502770" w:rsidRDefault="00502770" w:rsidP="002E77BD">
            <w:pPr>
              <w:pStyle w:val="BodyTextafterheading"/>
            </w:pPr>
            <w:r>
              <w:t>Adult LOC 5</w:t>
            </w:r>
          </w:p>
        </w:tc>
        <w:tc>
          <w:tcPr>
            <w:tcW w:w="2430" w:type="dxa"/>
          </w:tcPr>
          <w:p w14:paraId="3B884CA6" w14:textId="102B7FF1" w:rsidR="00502770" w:rsidRDefault="00DF2B59" w:rsidP="002E77BD">
            <w:pPr>
              <w:pStyle w:val="BodyTextafterheading"/>
              <w:cnfStyle w:val="000000010000" w:firstRow="0" w:lastRow="0" w:firstColumn="0" w:lastColumn="0" w:oddVBand="0" w:evenVBand="0" w:oddHBand="0" w:evenHBand="1" w:firstRowFirstColumn="0" w:firstRowLastColumn="0" w:lastRowFirstColumn="0" w:lastRowLastColumn="0"/>
            </w:pPr>
            <w:r>
              <w:t>51</w:t>
            </w:r>
          </w:p>
        </w:tc>
        <w:tc>
          <w:tcPr>
            <w:tcW w:w="2430" w:type="dxa"/>
          </w:tcPr>
          <w:p w14:paraId="76F16128" w14:textId="06CBDE3F" w:rsidR="00502770" w:rsidRDefault="00DF2B59" w:rsidP="002E77BD">
            <w:pPr>
              <w:pStyle w:val="BodyTextafterheading"/>
              <w:cnfStyle w:val="000000010000" w:firstRow="0" w:lastRow="0" w:firstColumn="0" w:lastColumn="0" w:oddVBand="0" w:evenVBand="0" w:oddHBand="0" w:evenHBand="1" w:firstRowFirstColumn="0" w:firstRowLastColumn="0" w:lastRowFirstColumn="0" w:lastRowLastColumn="0"/>
            </w:pPr>
            <w:r>
              <w:t>51</w:t>
            </w:r>
          </w:p>
        </w:tc>
        <w:tc>
          <w:tcPr>
            <w:tcW w:w="2965" w:type="dxa"/>
          </w:tcPr>
          <w:p w14:paraId="2529281B" w14:textId="59A48B24" w:rsidR="00502770" w:rsidRDefault="00D41575" w:rsidP="002E77BD">
            <w:pPr>
              <w:pStyle w:val="BodyTextafterheading"/>
              <w:cnfStyle w:val="000000010000" w:firstRow="0" w:lastRow="0" w:firstColumn="0" w:lastColumn="0" w:oddVBand="0" w:evenVBand="0" w:oddHBand="0" w:evenHBand="1" w:firstRowFirstColumn="0" w:firstRowLastColumn="0" w:lastRowFirstColumn="0" w:lastRowLastColumn="0"/>
            </w:pPr>
            <w:r>
              <w:t>0%</w:t>
            </w:r>
          </w:p>
        </w:tc>
      </w:tr>
    </w:tbl>
    <w:p w14:paraId="12A5D067" w14:textId="33EE61DB" w:rsidR="002E77BD" w:rsidRPr="00F976EC" w:rsidRDefault="000967CA" w:rsidP="00E60FF3">
      <w:pPr>
        <w:pStyle w:val="BodyTextafterheading"/>
        <w:spacing w:after="0"/>
        <w:rPr>
          <w:rStyle w:val="Strong"/>
        </w:rPr>
      </w:pPr>
      <w:r>
        <w:rPr>
          <w:rStyle w:val="Strong"/>
        </w:rPr>
        <w:br/>
      </w:r>
      <w:r w:rsidR="00297272" w:rsidRPr="00F976EC">
        <w:rPr>
          <w:rStyle w:val="Strong"/>
        </w:rPr>
        <w:t xml:space="preserve">Table </w:t>
      </w:r>
      <w:r w:rsidR="000E09DF">
        <w:rPr>
          <w:rStyle w:val="Strong"/>
        </w:rPr>
        <w:t>3</w:t>
      </w:r>
      <w:r w:rsidR="00297272" w:rsidRPr="00F976EC">
        <w:rPr>
          <w:rStyle w:val="Strong"/>
        </w:rPr>
        <w:t xml:space="preserve">: </w:t>
      </w:r>
      <w:r w:rsidR="004B2314">
        <w:rPr>
          <w:rStyle w:val="Strong"/>
        </w:rPr>
        <w:t xml:space="preserve">Service Capacity for </w:t>
      </w:r>
      <w:r w:rsidR="002E77BD" w:rsidRPr="00F976EC">
        <w:rPr>
          <w:rStyle w:val="Strong"/>
        </w:rPr>
        <w:t>Child</w:t>
      </w:r>
      <w:r w:rsidR="008A4146">
        <w:rPr>
          <w:rStyle w:val="Strong"/>
        </w:rPr>
        <w:t xml:space="preserve">ren’s Community Mental Health </w:t>
      </w:r>
      <w:r w:rsidR="002E77BD" w:rsidRPr="00F976EC">
        <w:rPr>
          <w:rStyle w:val="Strong"/>
        </w:rPr>
        <w:t>Service</w:t>
      </w:r>
      <w:r w:rsidR="00297272" w:rsidRPr="00F976EC">
        <w:rPr>
          <w:rStyle w:val="Strong"/>
        </w:rPr>
        <w:t xml:space="preserve"> </w:t>
      </w:r>
      <w:r w:rsidR="005D7531">
        <w:rPr>
          <w:rStyle w:val="Strong"/>
        </w:rPr>
        <w:t>LOC</w:t>
      </w:r>
      <w:r w:rsidR="004B2314">
        <w:rPr>
          <w:rStyle w:val="Strong"/>
        </w:rPr>
        <w:t>s</w:t>
      </w:r>
    </w:p>
    <w:tbl>
      <w:tblPr>
        <w:tblStyle w:val="HHSTableforTextData"/>
        <w:tblW w:w="0" w:type="auto"/>
        <w:tblLook w:val="04A0" w:firstRow="1" w:lastRow="0" w:firstColumn="1" w:lastColumn="0" w:noHBand="0" w:noVBand="1"/>
      </w:tblPr>
      <w:tblGrid>
        <w:gridCol w:w="1885"/>
        <w:gridCol w:w="2430"/>
        <w:gridCol w:w="2520"/>
        <w:gridCol w:w="2515"/>
      </w:tblGrid>
      <w:tr w:rsidR="00502770" w14:paraId="71BFA10A" w14:textId="77777777" w:rsidTr="00D37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676E6B60" w14:textId="68950794" w:rsidR="00502770" w:rsidRDefault="005D7531" w:rsidP="004B2314">
            <w:pPr>
              <w:pStyle w:val="BodyTextafterheading"/>
            </w:pPr>
            <w:r>
              <w:t>LOC</w:t>
            </w:r>
          </w:p>
        </w:tc>
        <w:tc>
          <w:tcPr>
            <w:tcW w:w="2430" w:type="dxa"/>
            <w:vAlign w:val="center"/>
          </w:tcPr>
          <w:p w14:paraId="121A28E8" w14:textId="77777777" w:rsidR="00502770" w:rsidRDefault="00502770" w:rsidP="004B2314">
            <w:pPr>
              <w:pStyle w:val="BodyTextafterheading"/>
              <w:cnfStyle w:val="100000000000" w:firstRow="1" w:lastRow="0" w:firstColumn="0" w:lastColumn="0" w:oddVBand="0" w:evenVBand="0" w:oddHBand="0" w:evenHBand="0" w:firstRowFirstColumn="0" w:firstRowLastColumn="0" w:lastRowFirstColumn="0" w:lastRowLastColumn="0"/>
            </w:pPr>
            <w:r>
              <w:t>Most recent service capacity (non-Medicaid only)</w:t>
            </w:r>
          </w:p>
        </w:tc>
        <w:tc>
          <w:tcPr>
            <w:tcW w:w="2520" w:type="dxa"/>
            <w:vAlign w:val="center"/>
          </w:tcPr>
          <w:p w14:paraId="109FF665" w14:textId="169B5DB2" w:rsidR="00502770" w:rsidRDefault="00502770" w:rsidP="004B2314">
            <w:pPr>
              <w:pStyle w:val="BodyTextafterheading"/>
              <w:cnfStyle w:val="100000000000" w:firstRow="1" w:lastRow="0" w:firstColumn="0" w:lastColumn="0" w:oddVBand="0" w:evenVBand="0" w:oddHBand="0" w:evenHBand="0" w:firstRowFirstColumn="0" w:firstRowLastColumn="0" w:lastRowFirstColumn="0" w:lastRowLastColumn="0"/>
            </w:pPr>
            <w:r>
              <w:t xml:space="preserve">Estimated FY </w:t>
            </w:r>
            <w:r w:rsidR="00297272">
              <w:t>2025</w:t>
            </w:r>
            <w:r>
              <w:t xml:space="preserve"> service capacity (non-Medicaid only)</w:t>
            </w:r>
          </w:p>
        </w:tc>
        <w:tc>
          <w:tcPr>
            <w:tcW w:w="2515" w:type="dxa"/>
            <w:vAlign w:val="center"/>
          </w:tcPr>
          <w:p w14:paraId="46A2E1DC" w14:textId="0D331BF3" w:rsidR="00502770" w:rsidRDefault="00720A88" w:rsidP="004B2314">
            <w:pPr>
              <w:pStyle w:val="BodyTextafterheading"/>
              <w:cnfStyle w:val="100000000000" w:firstRow="1" w:lastRow="0" w:firstColumn="0" w:lastColumn="0" w:oddVBand="0" w:evenVBand="0" w:oddHBand="0" w:evenHBand="0" w:firstRowFirstColumn="0" w:firstRowLastColumn="0" w:lastRowFirstColumn="0" w:lastRowLastColumn="0"/>
            </w:pPr>
            <w:r>
              <w:t xml:space="preserve">% </w:t>
            </w:r>
            <w:r w:rsidR="00502770">
              <w:t xml:space="preserve">total non-Medicaid capacity provided by external providers in FY </w:t>
            </w:r>
            <w:r w:rsidR="00297272">
              <w:t>2025</w:t>
            </w:r>
          </w:p>
        </w:tc>
      </w:tr>
      <w:tr w:rsidR="00502770" w14:paraId="0C130A1E"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0A8B07F0" w14:textId="064D0D3F" w:rsidR="00502770" w:rsidRDefault="00502770">
            <w:pPr>
              <w:pStyle w:val="BodyTextafterheading"/>
            </w:pPr>
            <w:r>
              <w:t>Children’s LOC 1</w:t>
            </w:r>
          </w:p>
        </w:tc>
        <w:tc>
          <w:tcPr>
            <w:tcW w:w="2430" w:type="dxa"/>
          </w:tcPr>
          <w:p w14:paraId="12BC2AA7" w14:textId="52D50508" w:rsidR="00502770" w:rsidRDefault="0059466F">
            <w:pPr>
              <w:pStyle w:val="BodyTextafterheading"/>
              <w:cnfStyle w:val="000000100000" w:firstRow="0" w:lastRow="0" w:firstColumn="0" w:lastColumn="0" w:oddVBand="0" w:evenVBand="0" w:oddHBand="1" w:evenHBand="0" w:firstRowFirstColumn="0" w:firstRowLastColumn="0" w:lastRowFirstColumn="0" w:lastRowLastColumn="0"/>
            </w:pPr>
            <w:r>
              <w:t>61</w:t>
            </w:r>
          </w:p>
        </w:tc>
        <w:tc>
          <w:tcPr>
            <w:tcW w:w="2520" w:type="dxa"/>
          </w:tcPr>
          <w:p w14:paraId="57BCFF70" w14:textId="726F0ACC" w:rsidR="00502770" w:rsidRDefault="0059466F">
            <w:pPr>
              <w:pStyle w:val="BodyTextafterheading"/>
              <w:cnfStyle w:val="000000100000" w:firstRow="0" w:lastRow="0" w:firstColumn="0" w:lastColumn="0" w:oddVBand="0" w:evenVBand="0" w:oddHBand="1" w:evenHBand="0" w:firstRowFirstColumn="0" w:firstRowLastColumn="0" w:lastRowFirstColumn="0" w:lastRowLastColumn="0"/>
            </w:pPr>
            <w:r>
              <w:t>61</w:t>
            </w:r>
          </w:p>
        </w:tc>
        <w:tc>
          <w:tcPr>
            <w:tcW w:w="2515" w:type="dxa"/>
          </w:tcPr>
          <w:p w14:paraId="08A0636D" w14:textId="6A66E65A" w:rsidR="00502770" w:rsidRPr="00311A03" w:rsidRDefault="006454B2" w:rsidP="006454B2">
            <w:pPr>
              <w:pStyle w:val="BodyTextafterheading"/>
              <w:cnfStyle w:val="000000100000" w:firstRow="0" w:lastRow="0" w:firstColumn="0" w:lastColumn="0" w:oddVBand="0" w:evenVBand="0" w:oddHBand="1" w:evenHBand="0" w:firstRowFirstColumn="0" w:firstRowLastColumn="0" w:lastRowFirstColumn="0" w:lastRowLastColumn="0"/>
            </w:pPr>
            <w:r>
              <w:t>0%</w:t>
            </w:r>
          </w:p>
        </w:tc>
      </w:tr>
      <w:tr w:rsidR="00502770" w14:paraId="4477BFCD"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5177D93E" w14:textId="1E44771C" w:rsidR="00502770" w:rsidRDefault="00502770">
            <w:pPr>
              <w:pStyle w:val="BodyTextafterheading"/>
            </w:pPr>
            <w:r>
              <w:t>Children’s LOC 2</w:t>
            </w:r>
          </w:p>
        </w:tc>
        <w:tc>
          <w:tcPr>
            <w:tcW w:w="2430" w:type="dxa"/>
          </w:tcPr>
          <w:p w14:paraId="7DD61023" w14:textId="36E23CEB" w:rsidR="00502770" w:rsidRDefault="00C901D7">
            <w:pPr>
              <w:pStyle w:val="BodyTextafterheading"/>
              <w:cnfStyle w:val="000000010000" w:firstRow="0" w:lastRow="0" w:firstColumn="0" w:lastColumn="0" w:oddVBand="0" w:evenVBand="0" w:oddHBand="0" w:evenHBand="1" w:firstRowFirstColumn="0" w:firstRowLastColumn="0" w:lastRowFirstColumn="0" w:lastRowLastColumn="0"/>
            </w:pPr>
            <w:r>
              <w:t>2</w:t>
            </w:r>
            <w:r w:rsidR="0059466F">
              <w:t>59</w:t>
            </w:r>
          </w:p>
        </w:tc>
        <w:tc>
          <w:tcPr>
            <w:tcW w:w="2520" w:type="dxa"/>
          </w:tcPr>
          <w:p w14:paraId="18360F25" w14:textId="2A2CE158" w:rsidR="00502770" w:rsidRDefault="000607AA">
            <w:pPr>
              <w:pStyle w:val="BodyTextafterheading"/>
              <w:cnfStyle w:val="000000010000" w:firstRow="0" w:lastRow="0" w:firstColumn="0" w:lastColumn="0" w:oddVBand="0" w:evenVBand="0" w:oddHBand="0" w:evenHBand="1" w:firstRowFirstColumn="0" w:firstRowLastColumn="0" w:lastRowFirstColumn="0" w:lastRowLastColumn="0"/>
            </w:pPr>
            <w:r>
              <w:t>2</w:t>
            </w:r>
            <w:r w:rsidR="0059466F">
              <w:t>59</w:t>
            </w:r>
          </w:p>
        </w:tc>
        <w:tc>
          <w:tcPr>
            <w:tcW w:w="2515" w:type="dxa"/>
          </w:tcPr>
          <w:p w14:paraId="6CEFBECD" w14:textId="67328CC2" w:rsidR="00502770" w:rsidRDefault="00D41575">
            <w:pPr>
              <w:pStyle w:val="BodyTextafterheading"/>
              <w:cnfStyle w:val="000000010000" w:firstRow="0" w:lastRow="0" w:firstColumn="0" w:lastColumn="0" w:oddVBand="0" w:evenVBand="0" w:oddHBand="0" w:evenHBand="1" w:firstRowFirstColumn="0" w:firstRowLastColumn="0" w:lastRowFirstColumn="0" w:lastRowLastColumn="0"/>
            </w:pPr>
            <w:r>
              <w:t>0%</w:t>
            </w:r>
          </w:p>
        </w:tc>
      </w:tr>
      <w:tr w:rsidR="00502770" w14:paraId="02142181"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4105E2BB" w14:textId="061419F5" w:rsidR="00502770" w:rsidRDefault="00502770">
            <w:pPr>
              <w:pStyle w:val="BodyTextafterheading"/>
            </w:pPr>
            <w:r>
              <w:lastRenderedPageBreak/>
              <w:t>Children’s LOC 3</w:t>
            </w:r>
          </w:p>
        </w:tc>
        <w:tc>
          <w:tcPr>
            <w:tcW w:w="2430" w:type="dxa"/>
          </w:tcPr>
          <w:p w14:paraId="19D7EFCF" w14:textId="1E958314" w:rsidR="00502770" w:rsidRDefault="00496A63">
            <w:pPr>
              <w:pStyle w:val="BodyTextafterheading"/>
              <w:cnfStyle w:val="000000100000" w:firstRow="0" w:lastRow="0" w:firstColumn="0" w:lastColumn="0" w:oddVBand="0" w:evenVBand="0" w:oddHBand="1" w:evenHBand="0" w:firstRowFirstColumn="0" w:firstRowLastColumn="0" w:lastRowFirstColumn="0" w:lastRowLastColumn="0"/>
            </w:pPr>
            <w:r>
              <w:t>227</w:t>
            </w:r>
          </w:p>
        </w:tc>
        <w:tc>
          <w:tcPr>
            <w:tcW w:w="2520" w:type="dxa"/>
          </w:tcPr>
          <w:p w14:paraId="0C17A3CE" w14:textId="5F2AC6E6" w:rsidR="00502770" w:rsidRDefault="00496A63">
            <w:pPr>
              <w:pStyle w:val="BodyTextafterheading"/>
              <w:cnfStyle w:val="000000100000" w:firstRow="0" w:lastRow="0" w:firstColumn="0" w:lastColumn="0" w:oddVBand="0" w:evenVBand="0" w:oddHBand="1" w:evenHBand="0" w:firstRowFirstColumn="0" w:firstRowLastColumn="0" w:lastRowFirstColumn="0" w:lastRowLastColumn="0"/>
            </w:pPr>
            <w:r>
              <w:t>227</w:t>
            </w:r>
          </w:p>
        </w:tc>
        <w:tc>
          <w:tcPr>
            <w:tcW w:w="2515" w:type="dxa"/>
          </w:tcPr>
          <w:p w14:paraId="01F3D3E1" w14:textId="623BFCB4" w:rsidR="00502770" w:rsidRDefault="00D41575">
            <w:pPr>
              <w:pStyle w:val="BodyTextafterheading"/>
              <w:cnfStyle w:val="000000100000" w:firstRow="0" w:lastRow="0" w:firstColumn="0" w:lastColumn="0" w:oddVBand="0" w:evenVBand="0" w:oddHBand="1" w:evenHBand="0" w:firstRowFirstColumn="0" w:firstRowLastColumn="0" w:lastRowFirstColumn="0" w:lastRowLastColumn="0"/>
            </w:pPr>
            <w:r>
              <w:t>0%</w:t>
            </w:r>
          </w:p>
        </w:tc>
      </w:tr>
      <w:tr w:rsidR="00502770" w14:paraId="08D2BC39"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5955FF45" w14:textId="7766148E" w:rsidR="00502770" w:rsidRDefault="00502770">
            <w:pPr>
              <w:pStyle w:val="BodyTextafterheading"/>
            </w:pPr>
            <w:r>
              <w:t>Children’s LOC 4</w:t>
            </w:r>
          </w:p>
        </w:tc>
        <w:tc>
          <w:tcPr>
            <w:tcW w:w="2430" w:type="dxa"/>
          </w:tcPr>
          <w:p w14:paraId="532EEDC0" w14:textId="071D4BB0" w:rsidR="00502770" w:rsidRDefault="00496A63">
            <w:pPr>
              <w:pStyle w:val="BodyTextafterheading"/>
              <w:cnfStyle w:val="000000010000" w:firstRow="0" w:lastRow="0" w:firstColumn="0" w:lastColumn="0" w:oddVBand="0" w:evenVBand="0" w:oddHBand="0" w:evenHBand="1" w:firstRowFirstColumn="0" w:firstRowLastColumn="0" w:lastRowFirstColumn="0" w:lastRowLastColumn="0"/>
            </w:pPr>
            <w:r>
              <w:t>1</w:t>
            </w:r>
            <w:r w:rsidR="00120FD8">
              <w:t>3</w:t>
            </w:r>
          </w:p>
        </w:tc>
        <w:tc>
          <w:tcPr>
            <w:tcW w:w="2520" w:type="dxa"/>
          </w:tcPr>
          <w:p w14:paraId="4A63C254" w14:textId="09ED4228" w:rsidR="00502770" w:rsidRDefault="00496A63">
            <w:pPr>
              <w:pStyle w:val="BodyTextafterheading"/>
              <w:cnfStyle w:val="000000010000" w:firstRow="0" w:lastRow="0" w:firstColumn="0" w:lastColumn="0" w:oddVBand="0" w:evenVBand="0" w:oddHBand="0" w:evenHBand="1" w:firstRowFirstColumn="0" w:firstRowLastColumn="0" w:lastRowFirstColumn="0" w:lastRowLastColumn="0"/>
            </w:pPr>
            <w:r>
              <w:t>1</w:t>
            </w:r>
            <w:r w:rsidR="000607AA">
              <w:t>3</w:t>
            </w:r>
          </w:p>
        </w:tc>
        <w:tc>
          <w:tcPr>
            <w:tcW w:w="2515" w:type="dxa"/>
          </w:tcPr>
          <w:p w14:paraId="7022F9B6" w14:textId="092554C0" w:rsidR="00502770" w:rsidRDefault="00D41575">
            <w:pPr>
              <w:pStyle w:val="BodyTextafterheading"/>
              <w:cnfStyle w:val="000000010000" w:firstRow="0" w:lastRow="0" w:firstColumn="0" w:lastColumn="0" w:oddVBand="0" w:evenVBand="0" w:oddHBand="0" w:evenHBand="1" w:firstRowFirstColumn="0" w:firstRowLastColumn="0" w:lastRowFirstColumn="0" w:lastRowLastColumn="0"/>
            </w:pPr>
            <w:r>
              <w:t>0%</w:t>
            </w:r>
          </w:p>
        </w:tc>
      </w:tr>
      <w:tr w:rsidR="00502770" w14:paraId="592B922A"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178B88FD" w14:textId="56147CBE" w:rsidR="00502770" w:rsidRDefault="00502770">
            <w:pPr>
              <w:pStyle w:val="BodyTextafterheading"/>
            </w:pPr>
            <w:r>
              <w:t>Children’s LOC</w:t>
            </w:r>
            <w:r w:rsidR="004B2314">
              <w:t xml:space="preserve"> </w:t>
            </w:r>
            <w:r>
              <w:t>YC</w:t>
            </w:r>
          </w:p>
        </w:tc>
        <w:tc>
          <w:tcPr>
            <w:tcW w:w="2430" w:type="dxa"/>
          </w:tcPr>
          <w:p w14:paraId="5F1300D0" w14:textId="7E654152" w:rsidR="00502770" w:rsidRDefault="000607AA">
            <w:pPr>
              <w:pStyle w:val="BodyTextafterheading"/>
              <w:cnfStyle w:val="000000100000" w:firstRow="0" w:lastRow="0" w:firstColumn="0" w:lastColumn="0" w:oddVBand="0" w:evenVBand="0" w:oddHBand="1" w:evenHBand="0" w:firstRowFirstColumn="0" w:firstRowLastColumn="0" w:lastRowFirstColumn="0" w:lastRowLastColumn="0"/>
            </w:pPr>
            <w:r>
              <w:t>1</w:t>
            </w:r>
            <w:r w:rsidR="00814788">
              <w:t>2</w:t>
            </w:r>
          </w:p>
        </w:tc>
        <w:tc>
          <w:tcPr>
            <w:tcW w:w="2520" w:type="dxa"/>
          </w:tcPr>
          <w:p w14:paraId="77132086" w14:textId="18E27199" w:rsidR="00502770" w:rsidRDefault="000607AA">
            <w:pPr>
              <w:pStyle w:val="BodyTextafterheading"/>
              <w:cnfStyle w:val="000000100000" w:firstRow="0" w:lastRow="0" w:firstColumn="0" w:lastColumn="0" w:oddVBand="0" w:evenVBand="0" w:oddHBand="1" w:evenHBand="0" w:firstRowFirstColumn="0" w:firstRowLastColumn="0" w:lastRowFirstColumn="0" w:lastRowLastColumn="0"/>
            </w:pPr>
            <w:r>
              <w:t>1</w:t>
            </w:r>
            <w:r w:rsidR="00814788">
              <w:t>2</w:t>
            </w:r>
          </w:p>
        </w:tc>
        <w:tc>
          <w:tcPr>
            <w:tcW w:w="2515" w:type="dxa"/>
          </w:tcPr>
          <w:p w14:paraId="33D3A346" w14:textId="17E1BC58" w:rsidR="00502770" w:rsidRDefault="00D41575">
            <w:pPr>
              <w:pStyle w:val="BodyTextafterheading"/>
              <w:cnfStyle w:val="000000100000" w:firstRow="0" w:lastRow="0" w:firstColumn="0" w:lastColumn="0" w:oddVBand="0" w:evenVBand="0" w:oddHBand="1" w:evenHBand="0" w:firstRowFirstColumn="0" w:firstRowLastColumn="0" w:lastRowFirstColumn="0" w:lastRowLastColumn="0"/>
            </w:pPr>
            <w:r>
              <w:t>0%</w:t>
            </w:r>
          </w:p>
        </w:tc>
      </w:tr>
      <w:tr w:rsidR="00502770" w14:paraId="421B57E9"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77933803" w14:textId="2520A9E0" w:rsidR="00502770" w:rsidRDefault="00502770">
            <w:pPr>
              <w:pStyle w:val="BodyTextafterheading"/>
            </w:pPr>
            <w:r>
              <w:t>Children’s LOC 5</w:t>
            </w:r>
          </w:p>
        </w:tc>
        <w:tc>
          <w:tcPr>
            <w:tcW w:w="2430" w:type="dxa"/>
          </w:tcPr>
          <w:p w14:paraId="65D8B45D" w14:textId="42C17DB6" w:rsidR="00502770" w:rsidRDefault="002D4740">
            <w:pPr>
              <w:pStyle w:val="BodyTextafterheading"/>
              <w:cnfStyle w:val="000000010000" w:firstRow="0" w:lastRow="0" w:firstColumn="0" w:lastColumn="0" w:oddVBand="0" w:evenVBand="0" w:oddHBand="0" w:evenHBand="1" w:firstRowFirstColumn="0" w:firstRowLastColumn="0" w:lastRowFirstColumn="0" w:lastRowLastColumn="0"/>
            </w:pPr>
            <w:r>
              <w:t>3</w:t>
            </w:r>
          </w:p>
        </w:tc>
        <w:tc>
          <w:tcPr>
            <w:tcW w:w="2520" w:type="dxa"/>
          </w:tcPr>
          <w:p w14:paraId="458C3591" w14:textId="556E6020" w:rsidR="00502770" w:rsidRDefault="002D4740">
            <w:pPr>
              <w:pStyle w:val="BodyTextafterheading"/>
              <w:cnfStyle w:val="000000010000" w:firstRow="0" w:lastRow="0" w:firstColumn="0" w:lastColumn="0" w:oddVBand="0" w:evenVBand="0" w:oddHBand="0" w:evenHBand="1" w:firstRowFirstColumn="0" w:firstRowLastColumn="0" w:lastRowFirstColumn="0" w:lastRowLastColumn="0"/>
            </w:pPr>
            <w:r>
              <w:t>3</w:t>
            </w:r>
          </w:p>
        </w:tc>
        <w:tc>
          <w:tcPr>
            <w:tcW w:w="2515" w:type="dxa"/>
          </w:tcPr>
          <w:p w14:paraId="2EEFD717" w14:textId="5970C917" w:rsidR="00502770" w:rsidRDefault="00D41575">
            <w:pPr>
              <w:pStyle w:val="BodyTextafterheading"/>
              <w:cnfStyle w:val="000000010000" w:firstRow="0" w:lastRow="0" w:firstColumn="0" w:lastColumn="0" w:oddVBand="0" w:evenVBand="0" w:oddHBand="0" w:evenHBand="1" w:firstRowFirstColumn="0" w:firstRowLastColumn="0" w:lastRowFirstColumn="0" w:lastRowLastColumn="0"/>
            </w:pPr>
            <w:r>
              <w:t>0%</w:t>
            </w:r>
          </w:p>
        </w:tc>
      </w:tr>
    </w:tbl>
    <w:p w14:paraId="13B73F9D" w14:textId="7ED9E442" w:rsidR="002E77BD" w:rsidRPr="00F976EC" w:rsidRDefault="000967CA" w:rsidP="00E60FF3">
      <w:pPr>
        <w:pStyle w:val="BodyTextafterheading"/>
        <w:spacing w:after="0"/>
        <w:rPr>
          <w:rStyle w:val="Strong"/>
        </w:rPr>
      </w:pPr>
      <w:r>
        <w:rPr>
          <w:rStyle w:val="Strong"/>
        </w:rPr>
        <w:br/>
      </w:r>
      <w:r w:rsidR="0024161A" w:rsidRPr="00F976EC">
        <w:rPr>
          <w:rStyle w:val="Strong"/>
        </w:rPr>
        <w:t xml:space="preserve">Table </w:t>
      </w:r>
      <w:r w:rsidR="000E09DF">
        <w:rPr>
          <w:rStyle w:val="Strong"/>
        </w:rPr>
        <w:t>4</w:t>
      </w:r>
      <w:r w:rsidR="0024161A" w:rsidRPr="00F976EC">
        <w:rPr>
          <w:rStyle w:val="Strong"/>
        </w:rPr>
        <w:t xml:space="preserve">: </w:t>
      </w:r>
      <w:r w:rsidR="004B2314">
        <w:rPr>
          <w:rStyle w:val="Strong"/>
        </w:rPr>
        <w:t xml:space="preserve">Service Capacity for </w:t>
      </w:r>
      <w:r w:rsidR="0024161A" w:rsidRPr="00F976EC">
        <w:rPr>
          <w:rStyle w:val="Strong"/>
        </w:rPr>
        <w:t xml:space="preserve">Crisis Services </w:t>
      </w:r>
    </w:p>
    <w:tbl>
      <w:tblPr>
        <w:tblStyle w:val="HHSTableforTextData"/>
        <w:tblW w:w="0" w:type="auto"/>
        <w:tblLook w:val="04A0" w:firstRow="1" w:lastRow="0" w:firstColumn="1" w:lastColumn="0" w:noHBand="0" w:noVBand="1"/>
      </w:tblPr>
      <w:tblGrid>
        <w:gridCol w:w="2728"/>
        <w:gridCol w:w="2196"/>
        <w:gridCol w:w="2216"/>
        <w:gridCol w:w="2210"/>
      </w:tblGrid>
      <w:tr w:rsidR="00EF73F5" w14:paraId="2D8E971C" w14:textId="77777777" w:rsidTr="009A1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vAlign w:val="center"/>
          </w:tcPr>
          <w:p w14:paraId="4A326593" w14:textId="292FF67A" w:rsidR="00EF73F5" w:rsidRDefault="0024161A" w:rsidP="004B2314">
            <w:pPr>
              <w:pStyle w:val="BodyTextafterheading"/>
            </w:pPr>
            <w:r>
              <w:t>Crisis Service</w:t>
            </w:r>
          </w:p>
        </w:tc>
        <w:tc>
          <w:tcPr>
            <w:tcW w:w="2196" w:type="dxa"/>
            <w:vAlign w:val="center"/>
          </w:tcPr>
          <w:p w14:paraId="0A6F983D" w14:textId="793534B0" w:rsidR="00EF73F5" w:rsidRDefault="0034665D" w:rsidP="004B2314">
            <w:pPr>
              <w:pStyle w:val="BodyTextafterheading"/>
              <w:cnfStyle w:val="100000000000" w:firstRow="1" w:lastRow="0" w:firstColumn="0" w:lastColumn="0" w:oddVBand="0" w:evenVBand="0" w:oddHBand="0" w:evenHBand="0" w:firstRowFirstColumn="0" w:firstRowLastColumn="0" w:lastRowFirstColumn="0" w:lastRowLastColumn="0"/>
            </w:pPr>
            <w:r>
              <w:t xml:space="preserve">FY </w:t>
            </w:r>
            <w:r w:rsidR="00226255">
              <w:t>2024</w:t>
            </w:r>
            <w:r>
              <w:t xml:space="preserve"> service capacity</w:t>
            </w:r>
          </w:p>
        </w:tc>
        <w:tc>
          <w:tcPr>
            <w:tcW w:w="2216" w:type="dxa"/>
            <w:vAlign w:val="center"/>
          </w:tcPr>
          <w:p w14:paraId="76301BD9" w14:textId="0D60A020" w:rsidR="00EF73F5" w:rsidRDefault="0034665D" w:rsidP="004B2314">
            <w:pPr>
              <w:pStyle w:val="BodyTextafterheading"/>
              <w:cnfStyle w:val="100000000000" w:firstRow="1" w:lastRow="0" w:firstColumn="0" w:lastColumn="0" w:oddVBand="0" w:evenVBand="0" w:oddHBand="0" w:evenHBand="0" w:firstRowFirstColumn="0" w:firstRowLastColumn="0" w:lastRowFirstColumn="0" w:lastRowLastColumn="0"/>
            </w:pPr>
            <w:r>
              <w:t xml:space="preserve">Estimated FY </w:t>
            </w:r>
            <w:r w:rsidR="00226255">
              <w:t>2025</w:t>
            </w:r>
            <w:r>
              <w:t xml:space="preserve"> service capacity</w:t>
            </w:r>
          </w:p>
        </w:tc>
        <w:tc>
          <w:tcPr>
            <w:tcW w:w="2210" w:type="dxa"/>
            <w:vAlign w:val="center"/>
          </w:tcPr>
          <w:p w14:paraId="2EA93CCF" w14:textId="2AC75563" w:rsidR="00EF73F5" w:rsidRDefault="00720A88" w:rsidP="004B2314">
            <w:pPr>
              <w:pStyle w:val="BodyTextafterheading"/>
              <w:cnfStyle w:val="100000000000" w:firstRow="1" w:lastRow="0" w:firstColumn="0" w:lastColumn="0" w:oddVBand="0" w:evenVBand="0" w:oddHBand="0" w:evenHBand="0" w:firstRowFirstColumn="0" w:firstRowLastColumn="0" w:lastRowFirstColumn="0" w:lastRowLastColumn="0"/>
            </w:pPr>
            <w:r>
              <w:t xml:space="preserve">% </w:t>
            </w:r>
            <w:r w:rsidR="0034665D">
              <w:t>total capacity provided by external providers in FY 2</w:t>
            </w:r>
            <w:r w:rsidR="00F509A0">
              <w:t>024</w:t>
            </w:r>
          </w:p>
        </w:tc>
      </w:tr>
      <w:tr w:rsidR="00EF73F5" w14:paraId="60962026" w14:textId="77777777" w:rsidTr="009A1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5247D2B4" w14:textId="5EAB7182" w:rsidR="00EF73F5" w:rsidRDefault="0024161A" w:rsidP="002E77BD">
            <w:pPr>
              <w:pStyle w:val="BodyTextafterheading"/>
            </w:pPr>
            <w:r>
              <w:t xml:space="preserve">Crisis </w:t>
            </w:r>
            <w:r w:rsidR="00187A0A">
              <w:t>H</w:t>
            </w:r>
            <w:r>
              <w:t>otline</w:t>
            </w:r>
          </w:p>
        </w:tc>
        <w:tc>
          <w:tcPr>
            <w:tcW w:w="2196" w:type="dxa"/>
          </w:tcPr>
          <w:p w14:paraId="286B32D0" w14:textId="550FBFBD" w:rsidR="00EF73F5" w:rsidRDefault="00B677CC" w:rsidP="002E77BD">
            <w:pPr>
              <w:pStyle w:val="BodyTextafterheading"/>
              <w:cnfStyle w:val="000000100000" w:firstRow="0" w:lastRow="0" w:firstColumn="0" w:lastColumn="0" w:oddVBand="0" w:evenVBand="0" w:oddHBand="1" w:evenHBand="0" w:firstRowFirstColumn="0" w:firstRowLastColumn="0" w:lastRowFirstColumn="0" w:lastRowLastColumn="0"/>
            </w:pPr>
            <w:r>
              <w:t>10</w:t>
            </w:r>
            <w:r w:rsidR="00A3116C">
              <w:t>,875 (</w:t>
            </w:r>
            <w:r w:rsidR="005F0498">
              <w:t>MBOW</w:t>
            </w:r>
            <w:r w:rsidR="00A3116C">
              <w:t>)</w:t>
            </w:r>
          </w:p>
        </w:tc>
        <w:tc>
          <w:tcPr>
            <w:tcW w:w="2216" w:type="dxa"/>
          </w:tcPr>
          <w:p w14:paraId="33890CDC" w14:textId="77777777" w:rsidR="00EF73F5" w:rsidRDefault="00EF73F5"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2210" w:type="dxa"/>
          </w:tcPr>
          <w:p w14:paraId="2BBF2FB6" w14:textId="55A5264C" w:rsidR="00EF73F5" w:rsidRDefault="004429B3" w:rsidP="002E77BD">
            <w:pPr>
              <w:pStyle w:val="BodyTextafterheading"/>
              <w:cnfStyle w:val="000000100000" w:firstRow="0" w:lastRow="0" w:firstColumn="0" w:lastColumn="0" w:oddVBand="0" w:evenVBand="0" w:oddHBand="1" w:evenHBand="0" w:firstRowFirstColumn="0" w:firstRowLastColumn="0" w:lastRowFirstColumn="0" w:lastRowLastColumn="0"/>
            </w:pPr>
            <w:r>
              <w:t>100</w:t>
            </w:r>
            <w:r w:rsidR="00F171AA">
              <w:t>%</w:t>
            </w:r>
          </w:p>
        </w:tc>
      </w:tr>
      <w:tr w:rsidR="00EF73F5" w14:paraId="4DA44816" w14:textId="77777777" w:rsidTr="009A1C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7A5C3322" w14:textId="7C355B48" w:rsidR="00EF73F5" w:rsidRDefault="0024161A" w:rsidP="002E77BD">
            <w:pPr>
              <w:pStyle w:val="BodyTextafterheading"/>
            </w:pPr>
            <w:r>
              <w:t xml:space="preserve">Mobile </w:t>
            </w:r>
            <w:r w:rsidR="00187A0A">
              <w:t>C</w:t>
            </w:r>
            <w:r>
              <w:t xml:space="preserve">risis </w:t>
            </w:r>
            <w:r w:rsidR="00187A0A">
              <w:t>O</w:t>
            </w:r>
            <w:r>
              <w:t xml:space="preserve">utreach </w:t>
            </w:r>
            <w:r w:rsidR="00187A0A">
              <w:t>T</w:t>
            </w:r>
            <w:r>
              <w:t>eam</w:t>
            </w:r>
            <w:r w:rsidR="00187A0A">
              <w:t>s</w:t>
            </w:r>
            <w:r w:rsidR="00076361">
              <w:t xml:space="preserve"> </w:t>
            </w:r>
          </w:p>
        </w:tc>
        <w:tc>
          <w:tcPr>
            <w:tcW w:w="2196" w:type="dxa"/>
          </w:tcPr>
          <w:p w14:paraId="3E229DAE" w14:textId="3774DDDD" w:rsidR="00EF73F5" w:rsidRDefault="006337BD" w:rsidP="002E77BD">
            <w:pPr>
              <w:pStyle w:val="BodyTextafterheading"/>
              <w:cnfStyle w:val="000000010000" w:firstRow="0" w:lastRow="0" w:firstColumn="0" w:lastColumn="0" w:oddVBand="0" w:evenVBand="0" w:oddHBand="0" w:evenHBand="1" w:firstRowFirstColumn="0" w:firstRowLastColumn="0" w:lastRowFirstColumn="0" w:lastRowLastColumn="0"/>
            </w:pPr>
            <w:r>
              <w:t>9,546 (MBOW)</w:t>
            </w:r>
          </w:p>
        </w:tc>
        <w:tc>
          <w:tcPr>
            <w:tcW w:w="2216" w:type="dxa"/>
          </w:tcPr>
          <w:p w14:paraId="5107FFA4" w14:textId="77777777" w:rsidR="00EF73F5" w:rsidRDefault="00EF73F5"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2210" w:type="dxa"/>
          </w:tcPr>
          <w:p w14:paraId="3AE711D7" w14:textId="3BBB05C1" w:rsidR="00EF73F5" w:rsidRDefault="004429B3" w:rsidP="002E77BD">
            <w:pPr>
              <w:pStyle w:val="BodyTextafterheading"/>
              <w:cnfStyle w:val="000000010000" w:firstRow="0" w:lastRow="0" w:firstColumn="0" w:lastColumn="0" w:oddVBand="0" w:evenVBand="0" w:oddHBand="0" w:evenHBand="1" w:firstRowFirstColumn="0" w:firstRowLastColumn="0" w:lastRowFirstColumn="0" w:lastRowLastColumn="0"/>
            </w:pPr>
            <w:r>
              <w:t>0</w:t>
            </w:r>
            <w:r w:rsidR="00F171AA">
              <w:t>%</w:t>
            </w:r>
          </w:p>
        </w:tc>
      </w:tr>
      <w:tr w:rsidR="0034665D" w14:paraId="238129DC" w14:textId="77777777" w:rsidTr="009A1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3586F2C5" w14:textId="4EDC8C2A" w:rsidR="0034665D" w:rsidRDefault="0034665D" w:rsidP="002E77BD">
            <w:pPr>
              <w:pStyle w:val="BodyTextafterheading"/>
            </w:pPr>
            <w:r>
              <w:t>Private Psychiatric Bed</w:t>
            </w:r>
            <w:r w:rsidR="00187A0A">
              <w:t>s</w:t>
            </w:r>
          </w:p>
        </w:tc>
        <w:tc>
          <w:tcPr>
            <w:tcW w:w="2196" w:type="dxa"/>
          </w:tcPr>
          <w:p w14:paraId="151C3D45" w14:textId="36BC021B" w:rsidR="0034665D" w:rsidRDefault="007E5971" w:rsidP="002E77BD">
            <w:pPr>
              <w:pStyle w:val="BodyTextafterheading"/>
              <w:cnfStyle w:val="000000100000" w:firstRow="0" w:lastRow="0" w:firstColumn="0" w:lastColumn="0" w:oddVBand="0" w:evenVBand="0" w:oddHBand="1" w:evenHBand="0" w:firstRowFirstColumn="0" w:firstRowLastColumn="0" w:lastRowFirstColumn="0" w:lastRowLastColumn="0"/>
            </w:pPr>
            <w:r>
              <w:t>5,251 bed days</w:t>
            </w:r>
          </w:p>
        </w:tc>
        <w:tc>
          <w:tcPr>
            <w:tcW w:w="2216" w:type="dxa"/>
          </w:tcPr>
          <w:p w14:paraId="77674167" w14:textId="33550DE0" w:rsidR="0034665D" w:rsidRDefault="004F6010" w:rsidP="002E77BD">
            <w:pPr>
              <w:pStyle w:val="BodyTextafterheading"/>
              <w:cnfStyle w:val="000000100000" w:firstRow="0" w:lastRow="0" w:firstColumn="0" w:lastColumn="0" w:oddVBand="0" w:evenVBand="0" w:oddHBand="1" w:evenHBand="0" w:firstRowFirstColumn="0" w:firstRowLastColumn="0" w:lastRowFirstColumn="0" w:lastRowLastColumn="0"/>
            </w:pPr>
            <w:r>
              <w:t>5,251</w:t>
            </w:r>
            <w:r w:rsidR="00A97AE7">
              <w:t xml:space="preserve"> bed days</w:t>
            </w:r>
          </w:p>
        </w:tc>
        <w:tc>
          <w:tcPr>
            <w:tcW w:w="2210" w:type="dxa"/>
          </w:tcPr>
          <w:p w14:paraId="4F44F53E" w14:textId="10D89648" w:rsidR="0034665D" w:rsidRDefault="004429B3" w:rsidP="002E77BD">
            <w:pPr>
              <w:pStyle w:val="BodyTextafterheading"/>
              <w:cnfStyle w:val="000000100000" w:firstRow="0" w:lastRow="0" w:firstColumn="0" w:lastColumn="0" w:oddVBand="0" w:evenVBand="0" w:oddHBand="1" w:evenHBand="0" w:firstRowFirstColumn="0" w:firstRowLastColumn="0" w:lastRowFirstColumn="0" w:lastRowLastColumn="0"/>
            </w:pPr>
            <w:r>
              <w:t>100</w:t>
            </w:r>
            <w:r w:rsidR="00F171AA">
              <w:t>%</w:t>
            </w:r>
          </w:p>
        </w:tc>
      </w:tr>
      <w:tr w:rsidR="00363A66" w14:paraId="03104F64" w14:textId="77777777" w:rsidTr="009A1C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60F20C3C" w14:textId="405AA4F0" w:rsidR="00363A66" w:rsidRDefault="00363A66" w:rsidP="002E77BD">
            <w:pPr>
              <w:pStyle w:val="BodyTextafterheading"/>
            </w:pPr>
            <w:r>
              <w:t>Extended Observation Units</w:t>
            </w:r>
            <w:r w:rsidDel="00AF2500">
              <w:t xml:space="preserve"> (EOUs)</w:t>
            </w:r>
            <w:r w:rsidR="00336C64">
              <w:t xml:space="preserve"> </w:t>
            </w:r>
            <w:r w:rsidR="00336C64" w:rsidRPr="05AC7112">
              <w:rPr>
                <w:rFonts w:ascii="Verdana" w:hAnsi="Verdana"/>
              </w:rPr>
              <w:t>(not solely funded through PESC)</w:t>
            </w:r>
          </w:p>
        </w:tc>
        <w:tc>
          <w:tcPr>
            <w:tcW w:w="2196" w:type="dxa"/>
          </w:tcPr>
          <w:p w14:paraId="40CC4ED6" w14:textId="13118B2B" w:rsidR="00363A66" w:rsidRDefault="00C80E0B" w:rsidP="002E77BD">
            <w:pPr>
              <w:pStyle w:val="BodyTextafterheading"/>
              <w:cnfStyle w:val="000000010000" w:firstRow="0" w:lastRow="0" w:firstColumn="0" w:lastColumn="0" w:oddVBand="0" w:evenVBand="0" w:oddHBand="0" w:evenHBand="1" w:firstRowFirstColumn="0" w:firstRowLastColumn="0" w:lastRowFirstColumn="0" w:lastRowLastColumn="0"/>
            </w:pPr>
            <w:r>
              <w:t xml:space="preserve"> </w:t>
            </w:r>
            <w:r w:rsidR="00336C64">
              <w:t>3,6</w:t>
            </w:r>
            <w:r w:rsidR="00A97AE7">
              <w:t>6</w:t>
            </w:r>
            <w:r w:rsidR="00336C64">
              <w:t>0 bed days</w:t>
            </w:r>
          </w:p>
        </w:tc>
        <w:tc>
          <w:tcPr>
            <w:tcW w:w="2216" w:type="dxa"/>
          </w:tcPr>
          <w:p w14:paraId="78F936F0" w14:textId="688DB6F6" w:rsidR="00363A66" w:rsidRDefault="00E3107C" w:rsidP="002E77BD">
            <w:pPr>
              <w:pStyle w:val="BodyTextafterheading"/>
              <w:cnfStyle w:val="000000010000" w:firstRow="0" w:lastRow="0" w:firstColumn="0" w:lastColumn="0" w:oddVBand="0" w:evenVBand="0" w:oddHBand="0" w:evenHBand="1" w:firstRowFirstColumn="0" w:firstRowLastColumn="0" w:lastRowFirstColumn="0" w:lastRowLastColumn="0"/>
            </w:pPr>
            <w:r>
              <w:t>3,650 bed days</w:t>
            </w:r>
          </w:p>
        </w:tc>
        <w:tc>
          <w:tcPr>
            <w:tcW w:w="2210" w:type="dxa"/>
          </w:tcPr>
          <w:p w14:paraId="0BBD952B" w14:textId="600A017A" w:rsidR="00363A66" w:rsidRDefault="0080535A" w:rsidP="002E77BD">
            <w:pPr>
              <w:pStyle w:val="BodyTextafterheading"/>
              <w:cnfStyle w:val="000000010000" w:firstRow="0" w:lastRow="0" w:firstColumn="0" w:lastColumn="0" w:oddVBand="0" w:evenVBand="0" w:oddHBand="0" w:evenHBand="1" w:firstRowFirstColumn="0" w:firstRowLastColumn="0" w:lastRowFirstColumn="0" w:lastRowLastColumn="0"/>
            </w:pPr>
            <w:r>
              <w:t>50</w:t>
            </w:r>
            <w:r w:rsidR="00F171AA">
              <w:t>%</w:t>
            </w:r>
          </w:p>
        </w:tc>
      </w:tr>
      <w:tr w:rsidR="00115744" w14:paraId="0A3A9B1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vAlign w:val="center"/>
          </w:tcPr>
          <w:p w14:paraId="475795F0" w14:textId="5C044BC0" w:rsidR="00115744" w:rsidRDefault="00115744" w:rsidP="00115744">
            <w:pPr>
              <w:pStyle w:val="BodyTextafterheading"/>
            </w:pPr>
            <w:r>
              <w:rPr>
                <w:rFonts w:ascii="Verdana" w:hAnsi="Verdana"/>
              </w:rPr>
              <w:t>Diversion Center (not solely funded through PESC)</w:t>
            </w:r>
          </w:p>
        </w:tc>
        <w:tc>
          <w:tcPr>
            <w:tcW w:w="2196" w:type="dxa"/>
            <w:vAlign w:val="center"/>
          </w:tcPr>
          <w:p w14:paraId="2BDAF67E" w14:textId="77777777" w:rsidR="00115744" w:rsidRDefault="00115744" w:rsidP="00115744">
            <w:pPr>
              <w:spacing w:beforeLines="20" w:before="48" w:afterLines="20" w:after="48" w:line="276" w:lineRule="auto"/>
              <w:cnfStyle w:val="000000100000" w:firstRow="0" w:lastRow="0" w:firstColumn="0" w:lastColumn="0" w:oddVBand="0" w:evenVBand="0" w:oddHBand="1" w:evenHBand="0" w:firstRowFirstColumn="0" w:firstRowLastColumn="0" w:lastRowFirstColumn="0" w:lastRowLastColumn="0"/>
              <w:rPr>
                <w:rFonts w:ascii="Verdana" w:hAnsi="Verdana"/>
                <w:szCs w:val="24"/>
              </w:rPr>
            </w:pPr>
            <w:r>
              <w:rPr>
                <w:rFonts w:ascii="Verdana" w:hAnsi="Verdana"/>
                <w:szCs w:val="24"/>
              </w:rPr>
              <w:t>Approx. 1,244 people</w:t>
            </w:r>
          </w:p>
          <w:p w14:paraId="0A2F0F47" w14:textId="77777777" w:rsidR="00115744" w:rsidRDefault="00115744" w:rsidP="00115744">
            <w:pPr>
              <w:spacing w:beforeLines="20" w:before="48" w:afterLines="20" w:after="48" w:line="276" w:lineRule="auto"/>
              <w:cnfStyle w:val="000000100000" w:firstRow="0" w:lastRow="0" w:firstColumn="0" w:lastColumn="0" w:oddVBand="0" w:evenVBand="0" w:oddHBand="1" w:evenHBand="0" w:firstRowFirstColumn="0" w:firstRowLastColumn="0" w:lastRowFirstColumn="0" w:lastRowLastColumn="0"/>
              <w:rPr>
                <w:rFonts w:ascii="Verdana" w:hAnsi="Verdana"/>
                <w:szCs w:val="24"/>
              </w:rPr>
            </w:pPr>
          </w:p>
          <w:p w14:paraId="061FEB23" w14:textId="77777777" w:rsidR="00115744" w:rsidRDefault="00115744" w:rsidP="00115744">
            <w:pPr>
              <w:pStyle w:val="BodyTextafterheading"/>
              <w:cnfStyle w:val="000000100000" w:firstRow="0" w:lastRow="0" w:firstColumn="0" w:lastColumn="0" w:oddVBand="0" w:evenVBand="0" w:oddHBand="1" w:evenHBand="0" w:firstRowFirstColumn="0" w:firstRowLastColumn="0" w:lastRowFirstColumn="0" w:lastRowLastColumn="0"/>
            </w:pPr>
          </w:p>
        </w:tc>
        <w:tc>
          <w:tcPr>
            <w:tcW w:w="2216" w:type="dxa"/>
          </w:tcPr>
          <w:p w14:paraId="014A90DC" w14:textId="2DCF75FD" w:rsidR="004C4A87" w:rsidRDefault="004C4A87" w:rsidP="004C4A87">
            <w:pPr>
              <w:spacing w:beforeLines="20" w:before="48" w:afterLines="20" w:after="48" w:line="276" w:lineRule="auto"/>
              <w:cnfStyle w:val="000000100000" w:firstRow="0" w:lastRow="0" w:firstColumn="0" w:lastColumn="0" w:oddVBand="0" w:evenVBand="0" w:oddHBand="1" w:evenHBand="0" w:firstRowFirstColumn="0" w:firstRowLastColumn="0" w:lastRowFirstColumn="0" w:lastRowLastColumn="0"/>
              <w:rPr>
                <w:rFonts w:ascii="Verdana" w:hAnsi="Verdana"/>
                <w:szCs w:val="24"/>
              </w:rPr>
            </w:pPr>
            <w:r>
              <w:rPr>
                <w:rFonts w:ascii="Verdana" w:hAnsi="Verdana"/>
                <w:szCs w:val="24"/>
              </w:rPr>
              <w:t>Approx.</w:t>
            </w:r>
            <w:r w:rsidR="00FA46C9">
              <w:rPr>
                <w:rFonts w:ascii="Verdana" w:hAnsi="Verdana"/>
                <w:szCs w:val="24"/>
              </w:rPr>
              <w:t xml:space="preserve"> </w:t>
            </w:r>
            <w:r w:rsidR="008B7276">
              <w:rPr>
                <w:rFonts w:ascii="Verdana" w:hAnsi="Verdana"/>
                <w:szCs w:val="24"/>
              </w:rPr>
              <w:t>1,244</w:t>
            </w:r>
            <w:r>
              <w:rPr>
                <w:rFonts w:ascii="Verdana" w:hAnsi="Verdana"/>
                <w:szCs w:val="24"/>
              </w:rPr>
              <w:t xml:space="preserve"> people</w:t>
            </w:r>
          </w:p>
          <w:p w14:paraId="118C541E" w14:textId="77777777" w:rsidR="00115744" w:rsidRDefault="00115744" w:rsidP="00115744">
            <w:pPr>
              <w:pStyle w:val="BodyTextafterheading"/>
              <w:cnfStyle w:val="000000100000" w:firstRow="0" w:lastRow="0" w:firstColumn="0" w:lastColumn="0" w:oddVBand="0" w:evenVBand="0" w:oddHBand="1" w:evenHBand="0" w:firstRowFirstColumn="0" w:firstRowLastColumn="0" w:lastRowFirstColumn="0" w:lastRowLastColumn="0"/>
            </w:pPr>
          </w:p>
        </w:tc>
        <w:tc>
          <w:tcPr>
            <w:tcW w:w="2210" w:type="dxa"/>
          </w:tcPr>
          <w:p w14:paraId="4F83B16E" w14:textId="7AE77D6F" w:rsidR="004C4A87" w:rsidRPr="004C4A87" w:rsidRDefault="004C4A87" w:rsidP="004C4A87">
            <w:pPr>
              <w:pStyle w:val="BodyTextafterheading"/>
              <w:cnfStyle w:val="000000100000" w:firstRow="0" w:lastRow="0" w:firstColumn="0" w:lastColumn="0" w:oddVBand="0" w:evenVBand="0" w:oddHBand="1" w:evenHBand="0" w:firstRowFirstColumn="0" w:firstRowLastColumn="0" w:lastRowFirstColumn="0" w:lastRowLastColumn="0"/>
            </w:pPr>
            <w:r>
              <w:t>50</w:t>
            </w:r>
            <w:r w:rsidR="00F171AA">
              <w:t>%</w:t>
            </w:r>
          </w:p>
        </w:tc>
      </w:tr>
      <w:tr w:rsidR="00115744" w14:paraId="4C1D9EA4" w14:textId="77777777" w:rsidTr="009A1C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61DC3DEF" w14:textId="7A9BBCB1" w:rsidR="00115744" w:rsidRDefault="005A3508" w:rsidP="00115744">
            <w:pPr>
              <w:pStyle w:val="BodyTextafterheading"/>
            </w:pPr>
            <w:r>
              <w:t xml:space="preserve">Adult </w:t>
            </w:r>
            <w:r w:rsidR="00115744">
              <w:t xml:space="preserve">Crisis </w:t>
            </w:r>
            <w:r w:rsidR="00D8534C">
              <w:t>Respite</w:t>
            </w:r>
            <w:r w:rsidR="00115744">
              <w:t xml:space="preserve"> Unit</w:t>
            </w:r>
            <w:r>
              <w:t xml:space="preserve"> </w:t>
            </w:r>
            <w:r w:rsidR="00115744" w:rsidRPr="4D65843B">
              <w:rPr>
                <w:rFonts w:ascii="Verdana" w:hAnsi="Verdana"/>
              </w:rPr>
              <w:t xml:space="preserve">– </w:t>
            </w:r>
            <w:r w:rsidR="002D0FDC">
              <w:rPr>
                <w:rFonts w:ascii="Verdana" w:hAnsi="Verdana"/>
              </w:rPr>
              <w:t>Georgetown</w:t>
            </w:r>
            <w:r w:rsidR="00115744" w:rsidRPr="4D65843B">
              <w:rPr>
                <w:rFonts w:ascii="Verdana" w:hAnsi="Verdana"/>
              </w:rPr>
              <w:t xml:space="preserve"> (not solely funded through PESC)</w:t>
            </w:r>
          </w:p>
        </w:tc>
        <w:tc>
          <w:tcPr>
            <w:tcW w:w="2196" w:type="dxa"/>
          </w:tcPr>
          <w:p w14:paraId="7D1FC4A7" w14:textId="23DD8262" w:rsidR="00115744" w:rsidRDefault="00115744" w:rsidP="00115744">
            <w:pPr>
              <w:pStyle w:val="BodyTextafterheading"/>
              <w:cnfStyle w:val="000000010000" w:firstRow="0" w:lastRow="0" w:firstColumn="0" w:lastColumn="0" w:oddVBand="0" w:evenVBand="0" w:oddHBand="0" w:evenHBand="1" w:firstRowFirstColumn="0" w:firstRowLastColumn="0" w:lastRowFirstColumn="0" w:lastRowLastColumn="0"/>
            </w:pPr>
            <w:r>
              <w:t xml:space="preserve"> 5,8</w:t>
            </w:r>
            <w:r w:rsidR="00B148D2">
              <w:t>56</w:t>
            </w:r>
            <w:r>
              <w:t xml:space="preserve"> bed days</w:t>
            </w:r>
          </w:p>
          <w:p w14:paraId="5940F767" w14:textId="24581599" w:rsidR="00115744" w:rsidRPr="00395575" w:rsidRDefault="00115744" w:rsidP="00115744">
            <w:pPr>
              <w:pStyle w:val="BodyText"/>
              <w:cnfStyle w:val="000000010000" w:firstRow="0" w:lastRow="0" w:firstColumn="0" w:lastColumn="0" w:oddVBand="0" w:evenVBand="0" w:oddHBand="0" w:evenHBand="1" w:firstRowFirstColumn="0" w:firstRowLastColumn="0" w:lastRowFirstColumn="0" w:lastRowLastColumn="0"/>
            </w:pPr>
          </w:p>
        </w:tc>
        <w:tc>
          <w:tcPr>
            <w:tcW w:w="2216" w:type="dxa"/>
          </w:tcPr>
          <w:p w14:paraId="19B6FFB6" w14:textId="5530CC89" w:rsidR="00640B3E" w:rsidRDefault="00640B3E" w:rsidP="00640B3E">
            <w:pPr>
              <w:pStyle w:val="BodyTextafterheading"/>
              <w:cnfStyle w:val="000000010000" w:firstRow="0" w:lastRow="0" w:firstColumn="0" w:lastColumn="0" w:oddVBand="0" w:evenVBand="0" w:oddHBand="0" w:evenHBand="1" w:firstRowFirstColumn="0" w:firstRowLastColumn="0" w:lastRowFirstColumn="0" w:lastRowLastColumn="0"/>
            </w:pPr>
            <w:r>
              <w:t xml:space="preserve"> 5,840 bed days</w:t>
            </w:r>
          </w:p>
          <w:p w14:paraId="2C6014BE" w14:textId="77777777" w:rsidR="00115744" w:rsidRDefault="00115744" w:rsidP="00115744">
            <w:pPr>
              <w:pStyle w:val="BodyTextafterheading"/>
              <w:cnfStyle w:val="000000010000" w:firstRow="0" w:lastRow="0" w:firstColumn="0" w:lastColumn="0" w:oddVBand="0" w:evenVBand="0" w:oddHBand="0" w:evenHBand="1" w:firstRowFirstColumn="0" w:firstRowLastColumn="0" w:lastRowFirstColumn="0" w:lastRowLastColumn="0"/>
            </w:pPr>
          </w:p>
        </w:tc>
        <w:tc>
          <w:tcPr>
            <w:tcW w:w="2210" w:type="dxa"/>
          </w:tcPr>
          <w:p w14:paraId="7D088D31" w14:textId="1DC3FC8B" w:rsidR="00115744" w:rsidRDefault="00115744" w:rsidP="00115744">
            <w:pPr>
              <w:pStyle w:val="BodyTextafterheading"/>
              <w:cnfStyle w:val="000000010000" w:firstRow="0" w:lastRow="0" w:firstColumn="0" w:lastColumn="0" w:oddVBand="0" w:evenVBand="0" w:oddHBand="0" w:evenHBand="1" w:firstRowFirstColumn="0" w:firstRowLastColumn="0" w:lastRowFirstColumn="0" w:lastRowLastColumn="0"/>
            </w:pPr>
            <w:r>
              <w:t>50</w:t>
            </w:r>
            <w:r w:rsidR="00F171AA">
              <w:t>%</w:t>
            </w:r>
          </w:p>
        </w:tc>
      </w:tr>
      <w:tr w:rsidR="005641B8" w:rsidRPr="00DF595B" w14:paraId="07CDDAC8" w14:textId="77777777" w:rsidTr="009A1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46566A60" w14:textId="44A85D20" w:rsidR="005641B8" w:rsidRPr="00DF595B" w:rsidRDefault="005A3508" w:rsidP="005641B8">
            <w:pPr>
              <w:pStyle w:val="BodyTextafterheading"/>
            </w:pPr>
            <w:r>
              <w:lastRenderedPageBreak/>
              <w:t xml:space="preserve">Adult </w:t>
            </w:r>
            <w:r w:rsidR="005641B8">
              <w:t xml:space="preserve">Crisis Respite Unit </w:t>
            </w:r>
            <w:r w:rsidR="005641B8" w:rsidRPr="00AE43DC">
              <w:rPr>
                <w:rFonts w:ascii="Verdana" w:hAnsi="Verdana"/>
              </w:rPr>
              <w:t xml:space="preserve">– </w:t>
            </w:r>
            <w:r w:rsidR="00C04629" w:rsidRPr="00AE43DC">
              <w:rPr>
                <w:rFonts w:ascii="Verdana" w:hAnsi="Verdana"/>
              </w:rPr>
              <w:t>Seguin</w:t>
            </w:r>
            <w:r w:rsidR="005641B8" w:rsidRPr="00AE43DC">
              <w:rPr>
                <w:rFonts w:ascii="Verdana" w:hAnsi="Verdana"/>
              </w:rPr>
              <w:t xml:space="preserve"> (not PESC funded)</w:t>
            </w:r>
          </w:p>
        </w:tc>
        <w:tc>
          <w:tcPr>
            <w:tcW w:w="2196" w:type="dxa"/>
          </w:tcPr>
          <w:p w14:paraId="7C3BB20C" w14:textId="4438D38C" w:rsidR="005641B8" w:rsidRPr="00DF595B" w:rsidRDefault="005641B8" w:rsidP="005641B8">
            <w:pPr>
              <w:pStyle w:val="BodyTextafterheading"/>
              <w:cnfStyle w:val="000000100000" w:firstRow="0" w:lastRow="0" w:firstColumn="0" w:lastColumn="0" w:oddVBand="0" w:evenVBand="0" w:oddHBand="1" w:evenHBand="0" w:firstRowFirstColumn="0" w:firstRowLastColumn="0" w:lastRowFirstColumn="0" w:lastRowLastColumn="0"/>
              <w:rPr>
                <w:lang w:val="es-ES"/>
              </w:rPr>
            </w:pPr>
            <w:r w:rsidRPr="00AE43DC">
              <w:t xml:space="preserve"> </w:t>
            </w:r>
            <w:r>
              <w:rPr>
                <w:lang w:val="es-ES"/>
              </w:rPr>
              <w:t>3,6</w:t>
            </w:r>
            <w:r w:rsidR="002E219E">
              <w:rPr>
                <w:lang w:val="es-ES"/>
              </w:rPr>
              <w:t>6</w:t>
            </w:r>
            <w:r>
              <w:rPr>
                <w:lang w:val="es-ES"/>
              </w:rPr>
              <w:t>0 bed days</w:t>
            </w:r>
          </w:p>
        </w:tc>
        <w:tc>
          <w:tcPr>
            <w:tcW w:w="2216" w:type="dxa"/>
          </w:tcPr>
          <w:p w14:paraId="192A7A03" w14:textId="42261227" w:rsidR="005641B8" w:rsidRPr="00DF595B" w:rsidRDefault="005641B8" w:rsidP="005641B8">
            <w:pPr>
              <w:pStyle w:val="BodyTextafterheading"/>
              <w:cnfStyle w:val="000000100000" w:firstRow="0" w:lastRow="0" w:firstColumn="0" w:lastColumn="0" w:oddVBand="0" w:evenVBand="0" w:oddHBand="1" w:evenHBand="0" w:firstRowFirstColumn="0" w:firstRowLastColumn="0" w:lastRowFirstColumn="0" w:lastRowLastColumn="0"/>
              <w:rPr>
                <w:lang w:val="es-ES"/>
              </w:rPr>
            </w:pPr>
            <w:r>
              <w:rPr>
                <w:lang w:val="es-ES"/>
              </w:rPr>
              <w:t xml:space="preserve"> 3,650 bed days</w:t>
            </w:r>
          </w:p>
        </w:tc>
        <w:tc>
          <w:tcPr>
            <w:tcW w:w="2210" w:type="dxa"/>
          </w:tcPr>
          <w:p w14:paraId="0D977E1D" w14:textId="02BC25A9" w:rsidR="005641B8" w:rsidRPr="00DF595B" w:rsidRDefault="005641B8" w:rsidP="005641B8">
            <w:pPr>
              <w:pStyle w:val="BodyTextafterheading"/>
              <w:cnfStyle w:val="000000100000" w:firstRow="0" w:lastRow="0" w:firstColumn="0" w:lastColumn="0" w:oddVBand="0" w:evenVBand="0" w:oddHBand="1" w:evenHBand="0" w:firstRowFirstColumn="0" w:firstRowLastColumn="0" w:lastRowFirstColumn="0" w:lastRowLastColumn="0"/>
              <w:rPr>
                <w:lang w:val="es-ES"/>
              </w:rPr>
            </w:pPr>
            <w:r>
              <w:rPr>
                <w:lang w:val="es-ES"/>
              </w:rPr>
              <w:t>50</w:t>
            </w:r>
            <w:r w:rsidR="00F171AA">
              <w:rPr>
                <w:lang w:val="es-ES"/>
              </w:rPr>
              <w:t>%</w:t>
            </w:r>
          </w:p>
        </w:tc>
      </w:tr>
      <w:tr w:rsidR="005641B8" w:rsidRPr="006645DD" w14:paraId="3D29422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5F49C14D" w14:textId="6F3A7184" w:rsidR="005641B8" w:rsidRDefault="005641B8" w:rsidP="005641B8">
            <w:pPr>
              <w:pStyle w:val="BodyTextafterheading"/>
            </w:pPr>
            <w:r w:rsidRPr="4DFA4FF5">
              <w:rPr>
                <w:rFonts w:ascii="Verdana" w:hAnsi="Verdana"/>
              </w:rPr>
              <w:t xml:space="preserve">Youth Therapeutic Respite </w:t>
            </w:r>
            <w:r>
              <w:rPr>
                <w:rFonts w:ascii="Verdana" w:hAnsi="Verdana"/>
              </w:rPr>
              <w:t xml:space="preserve">– Round Rock </w:t>
            </w:r>
            <w:r w:rsidRPr="4DFA4FF5">
              <w:rPr>
                <w:rFonts w:ascii="Verdana" w:hAnsi="Verdana"/>
              </w:rPr>
              <w:t>(not PESC funded)</w:t>
            </w:r>
          </w:p>
        </w:tc>
        <w:tc>
          <w:tcPr>
            <w:tcW w:w="2196" w:type="dxa"/>
            <w:vAlign w:val="center"/>
          </w:tcPr>
          <w:p w14:paraId="0E7907B2" w14:textId="6261151A" w:rsidR="005641B8" w:rsidRDefault="005641B8" w:rsidP="005641B8">
            <w:pPr>
              <w:spacing w:line="276" w:lineRule="auto"/>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 5,8</w:t>
            </w:r>
            <w:r w:rsidR="005F6443">
              <w:rPr>
                <w:rFonts w:ascii="Verdana" w:hAnsi="Verdana"/>
              </w:rPr>
              <w:t>56</w:t>
            </w:r>
            <w:r>
              <w:rPr>
                <w:rFonts w:ascii="Verdana" w:hAnsi="Verdana"/>
              </w:rPr>
              <w:t xml:space="preserve"> bed days</w:t>
            </w:r>
          </w:p>
          <w:p w14:paraId="2B899378" w14:textId="77777777" w:rsidR="005641B8" w:rsidRPr="006645DD" w:rsidRDefault="005641B8" w:rsidP="005641B8">
            <w:pPr>
              <w:pStyle w:val="BodyTextafterheading"/>
              <w:cnfStyle w:val="000000010000" w:firstRow="0" w:lastRow="0" w:firstColumn="0" w:lastColumn="0" w:oddVBand="0" w:evenVBand="0" w:oddHBand="0" w:evenHBand="1" w:firstRowFirstColumn="0" w:firstRowLastColumn="0" w:lastRowFirstColumn="0" w:lastRowLastColumn="0"/>
            </w:pPr>
          </w:p>
        </w:tc>
        <w:tc>
          <w:tcPr>
            <w:tcW w:w="2216" w:type="dxa"/>
          </w:tcPr>
          <w:p w14:paraId="57EB3D08" w14:textId="27921292" w:rsidR="005641B8" w:rsidRPr="006645DD" w:rsidRDefault="00A862F6" w:rsidP="005641B8">
            <w:pPr>
              <w:pStyle w:val="BodyTextafterheading"/>
              <w:cnfStyle w:val="000000010000" w:firstRow="0" w:lastRow="0" w:firstColumn="0" w:lastColumn="0" w:oddVBand="0" w:evenVBand="0" w:oddHBand="0" w:evenHBand="1" w:firstRowFirstColumn="0" w:firstRowLastColumn="0" w:lastRowFirstColumn="0" w:lastRowLastColumn="0"/>
            </w:pPr>
            <w:r>
              <w:rPr>
                <w:rFonts w:ascii="Verdana" w:hAnsi="Verdana"/>
              </w:rPr>
              <w:t>5,840 bed days</w:t>
            </w:r>
          </w:p>
        </w:tc>
        <w:tc>
          <w:tcPr>
            <w:tcW w:w="2210" w:type="dxa"/>
          </w:tcPr>
          <w:p w14:paraId="2F1B0992" w14:textId="06FD6A9D" w:rsidR="005641B8" w:rsidRDefault="005641B8" w:rsidP="005641B8">
            <w:pPr>
              <w:pStyle w:val="BodyTextafterheading"/>
              <w:cnfStyle w:val="000000010000" w:firstRow="0" w:lastRow="0" w:firstColumn="0" w:lastColumn="0" w:oddVBand="0" w:evenVBand="0" w:oddHBand="0" w:evenHBand="1" w:firstRowFirstColumn="0" w:firstRowLastColumn="0" w:lastRowFirstColumn="0" w:lastRowLastColumn="0"/>
            </w:pPr>
            <w:r>
              <w:t>50</w:t>
            </w:r>
            <w:r w:rsidR="00F171AA">
              <w:t>%</w:t>
            </w:r>
          </w:p>
          <w:p w14:paraId="76913EF5" w14:textId="19817973" w:rsidR="005641B8" w:rsidRPr="00924829" w:rsidRDefault="005641B8" w:rsidP="005641B8">
            <w:pPr>
              <w:pStyle w:val="BodyText"/>
              <w:cnfStyle w:val="000000010000" w:firstRow="0" w:lastRow="0" w:firstColumn="0" w:lastColumn="0" w:oddVBand="0" w:evenVBand="0" w:oddHBand="0" w:evenHBand="1" w:firstRowFirstColumn="0" w:firstRowLastColumn="0" w:lastRowFirstColumn="0" w:lastRowLastColumn="0"/>
            </w:pPr>
          </w:p>
        </w:tc>
      </w:tr>
      <w:tr w:rsidR="005641B8" w:rsidRPr="006645DD" w14:paraId="03AE6702" w14:textId="77777777" w:rsidTr="009A1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05838237" w14:textId="2A9E5E80" w:rsidR="005641B8" w:rsidRDefault="005641B8" w:rsidP="005641B8">
            <w:pPr>
              <w:pStyle w:val="BodyTextafterheading"/>
            </w:pPr>
            <w:r w:rsidRPr="13A60EA4">
              <w:rPr>
                <w:rFonts w:ascii="Verdana" w:hAnsi="Verdana"/>
              </w:rPr>
              <w:t>Youth Therapeutic Respite – Seguin</w:t>
            </w:r>
          </w:p>
        </w:tc>
        <w:tc>
          <w:tcPr>
            <w:tcW w:w="2196" w:type="dxa"/>
          </w:tcPr>
          <w:p w14:paraId="21272949" w14:textId="29473A0B" w:rsidR="005641B8" w:rsidRPr="006645DD" w:rsidRDefault="005641B8" w:rsidP="005641B8">
            <w:pPr>
              <w:pStyle w:val="BodyTextafterheading"/>
              <w:cnfStyle w:val="000000100000" w:firstRow="0" w:lastRow="0" w:firstColumn="0" w:lastColumn="0" w:oddVBand="0" w:evenVBand="0" w:oddHBand="1" w:evenHBand="0" w:firstRowFirstColumn="0" w:firstRowLastColumn="0" w:lastRowFirstColumn="0" w:lastRowLastColumn="0"/>
            </w:pPr>
            <w:r>
              <w:rPr>
                <w:rFonts w:ascii="Verdana" w:hAnsi="Verdana"/>
              </w:rPr>
              <w:t xml:space="preserve"> </w:t>
            </w:r>
            <w:r w:rsidRPr="13A60EA4">
              <w:rPr>
                <w:rFonts w:ascii="Verdana" w:hAnsi="Verdana"/>
              </w:rPr>
              <w:t>3,</w:t>
            </w:r>
            <w:r w:rsidR="00014493">
              <w:rPr>
                <w:rFonts w:ascii="Verdana" w:hAnsi="Verdana"/>
              </w:rPr>
              <w:t>66</w:t>
            </w:r>
            <w:r w:rsidRPr="13A60EA4">
              <w:rPr>
                <w:rFonts w:ascii="Verdana" w:hAnsi="Verdana"/>
              </w:rPr>
              <w:t>0 bed days</w:t>
            </w:r>
          </w:p>
        </w:tc>
        <w:tc>
          <w:tcPr>
            <w:tcW w:w="2216" w:type="dxa"/>
          </w:tcPr>
          <w:p w14:paraId="76679CEC" w14:textId="645617D4" w:rsidR="005641B8" w:rsidRPr="006645DD" w:rsidRDefault="00A862F6" w:rsidP="005641B8">
            <w:pPr>
              <w:pStyle w:val="BodyTextafterheading"/>
              <w:cnfStyle w:val="000000100000" w:firstRow="0" w:lastRow="0" w:firstColumn="0" w:lastColumn="0" w:oddVBand="0" w:evenVBand="0" w:oddHBand="1" w:evenHBand="0" w:firstRowFirstColumn="0" w:firstRowLastColumn="0" w:lastRowFirstColumn="0" w:lastRowLastColumn="0"/>
            </w:pPr>
            <w:r w:rsidRPr="13A60EA4">
              <w:rPr>
                <w:rFonts w:ascii="Verdana" w:hAnsi="Verdana"/>
              </w:rPr>
              <w:t>3,</w:t>
            </w:r>
            <w:r w:rsidR="00C04629">
              <w:rPr>
                <w:rFonts w:ascii="Verdana" w:hAnsi="Verdana"/>
              </w:rPr>
              <w:t>650</w:t>
            </w:r>
            <w:r w:rsidRPr="13A60EA4">
              <w:rPr>
                <w:rFonts w:ascii="Verdana" w:hAnsi="Verdana"/>
              </w:rPr>
              <w:t xml:space="preserve"> bed days</w:t>
            </w:r>
          </w:p>
        </w:tc>
        <w:tc>
          <w:tcPr>
            <w:tcW w:w="2210" w:type="dxa"/>
          </w:tcPr>
          <w:p w14:paraId="7FFC0DE8" w14:textId="42EFAE94" w:rsidR="005641B8" w:rsidRPr="006645DD" w:rsidRDefault="005641B8" w:rsidP="005641B8">
            <w:pPr>
              <w:pStyle w:val="BodyTextafterheading"/>
              <w:cnfStyle w:val="000000100000" w:firstRow="0" w:lastRow="0" w:firstColumn="0" w:lastColumn="0" w:oddVBand="0" w:evenVBand="0" w:oddHBand="1" w:evenHBand="0" w:firstRowFirstColumn="0" w:firstRowLastColumn="0" w:lastRowFirstColumn="0" w:lastRowLastColumn="0"/>
            </w:pPr>
            <w:r>
              <w:t>50</w:t>
            </w:r>
            <w:r w:rsidR="00F171AA">
              <w:t>%</w:t>
            </w:r>
          </w:p>
        </w:tc>
      </w:tr>
    </w:tbl>
    <w:p w14:paraId="65431FAE" w14:textId="4A11D1A4" w:rsidR="002E77BD" w:rsidRDefault="002E77BD" w:rsidP="00425266">
      <w:pPr>
        <w:pStyle w:val="BodyTextafterheading"/>
        <w:numPr>
          <w:ilvl w:val="0"/>
          <w:numId w:val="16"/>
        </w:numPr>
      </w:pPr>
      <w:r>
        <w:t xml:space="preserve">List all </w:t>
      </w:r>
      <w:r w:rsidR="00685F1D">
        <w:t>contract</w:t>
      </w:r>
      <w:r w:rsidR="00AD011E">
        <w:t>s</w:t>
      </w:r>
      <w:r w:rsidR="00685F1D">
        <w:t xml:space="preserve"> for fiscal year </w:t>
      </w:r>
      <w:r w:rsidR="00D53D09">
        <w:t xml:space="preserve">2025 </w:t>
      </w:r>
      <w:r>
        <w:t xml:space="preserve">in the </w:t>
      </w:r>
      <w:r w:rsidR="009676DC">
        <w:t>t</w:t>
      </w:r>
      <w:r>
        <w:t xml:space="preserve">ables </w:t>
      </w:r>
      <w:r w:rsidR="000E09DF">
        <w:t>5</w:t>
      </w:r>
      <w:r w:rsidR="007948E6">
        <w:t xml:space="preserve"> and </w:t>
      </w:r>
      <w:r w:rsidR="000E09DF">
        <w:t>6</w:t>
      </w:r>
      <w:r>
        <w:t xml:space="preserve">. Include contracts with provider organizations and individual practitioners for discrete services. </w:t>
      </w:r>
    </w:p>
    <w:p w14:paraId="5B234421" w14:textId="69763E58" w:rsidR="002E77BD" w:rsidRDefault="002E77BD" w:rsidP="00425266">
      <w:pPr>
        <w:pStyle w:val="BodyTextafterheading"/>
        <w:numPr>
          <w:ilvl w:val="1"/>
          <w:numId w:val="16"/>
        </w:numPr>
      </w:pPr>
      <w:r>
        <w:t xml:space="preserve">In </w:t>
      </w:r>
      <w:r w:rsidR="00720A88">
        <w:t xml:space="preserve">tables </w:t>
      </w:r>
      <w:r w:rsidR="000E09DF">
        <w:t>5</w:t>
      </w:r>
      <w:r w:rsidR="00720A88">
        <w:t xml:space="preserve"> and </w:t>
      </w:r>
      <w:r w:rsidR="000E09DF">
        <w:t>6</w:t>
      </w:r>
      <w:r>
        <w:t>, list the name of the provider organization or individual practitioner. LMHA</w:t>
      </w:r>
      <w:r w:rsidR="00E51DD5">
        <w:t>s</w:t>
      </w:r>
      <w:r>
        <w:t xml:space="preserve"> or LBHA</w:t>
      </w:r>
      <w:r w:rsidR="00E51DD5">
        <w:t>s</w:t>
      </w:r>
      <w:r>
        <w:t xml:space="preserve"> must have written consent to include name</w:t>
      </w:r>
      <w:r w:rsidR="00E51DD5">
        <w:t>s</w:t>
      </w:r>
      <w:r>
        <w:t xml:space="preserve"> of individual peer support provider</w:t>
      </w:r>
      <w:r w:rsidR="00E51DD5">
        <w:t>s</w:t>
      </w:r>
      <w:r>
        <w:t>.</w:t>
      </w:r>
      <w:r w:rsidR="00DA7574">
        <w:t xml:space="preserve"> </w:t>
      </w:r>
      <w:r w:rsidR="00286D31">
        <w:t>State the number of individual peers (e.g., “3 individual peers”) f</w:t>
      </w:r>
      <w:r>
        <w:t>or peer providers that do not wish to have their names listed.</w:t>
      </w:r>
    </w:p>
    <w:p w14:paraId="72F991BB" w14:textId="4284FF77" w:rsidR="002E77BD" w:rsidRDefault="002E77BD" w:rsidP="00425266">
      <w:pPr>
        <w:pStyle w:val="BodyTextafterheading"/>
        <w:numPr>
          <w:ilvl w:val="1"/>
          <w:numId w:val="16"/>
        </w:numPr>
      </w:pPr>
      <w:r>
        <w:t xml:space="preserve">List the services provided by each contractor, including full levels of care, discrete services (such as </w:t>
      </w:r>
      <w:r w:rsidR="00720A88">
        <w:t>Cognitive Behavioral Therapy</w:t>
      </w:r>
      <w:r>
        <w:t>, physician services, or family partner services), crisis and other specialty services, and support services (such as pharmacy benefits management, laboratory, etc.).</w:t>
      </w:r>
    </w:p>
    <w:p w14:paraId="7EE5AAD4" w14:textId="475521D4" w:rsidR="00D21E16" w:rsidRPr="00F976EC" w:rsidRDefault="00D21E16" w:rsidP="00A004B7">
      <w:pPr>
        <w:pStyle w:val="BodyText"/>
        <w:spacing w:after="0"/>
        <w:rPr>
          <w:rStyle w:val="Strong"/>
        </w:rPr>
      </w:pPr>
      <w:r w:rsidRPr="00F976EC">
        <w:rPr>
          <w:rStyle w:val="Strong"/>
        </w:rPr>
        <w:t xml:space="preserve">Table </w:t>
      </w:r>
      <w:r w:rsidR="000E09DF">
        <w:rPr>
          <w:rStyle w:val="Strong"/>
        </w:rPr>
        <w:t>5</w:t>
      </w:r>
      <w:r w:rsidR="00720A88">
        <w:rPr>
          <w:rStyle w:val="Strong"/>
        </w:rPr>
        <w:t xml:space="preserve">: </w:t>
      </w:r>
      <w:r w:rsidR="00A85B10">
        <w:rPr>
          <w:rStyle w:val="Strong"/>
        </w:rPr>
        <w:t>Provider Organizations</w:t>
      </w:r>
    </w:p>
    <w:tbl>
      <w:tblPr>
        <w:tblStyle w:val="HHSTableforTextData"/>
        <w:tblW w:w="0" w:type="auto"/>
        <w:tblLook w:val="04A0" w:firstRow="1" w:lastRow="0" w:firstColumn="1" w:lastColumn="0" w:noHBand="0" w:noVBand="1"/>
      </w:tblPr>
      <w:tblGrid>
        <w:gridCol w:w="4675"/>
        <w:gridCol w:w="4675"/>
      </w:tblGrid>
      <w:tr w:rsidR="00C23CD6" w14:paraId="2D2AA2F9" w14:textId="77777777" w:rsidTr="007A2E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4A723F5" w14:textId="00DF12C3" w:rsidR="00C23CD6" w:rsidRDefault="00C23CD6" w:rsidP="0036786C">
            <w:pPr>
              <w:pStyle w:val="BodyTextafterheading"/>
              <w:ind w:left="144"/>
            </w:pPr>
            <w:r>
              <w:t>Provider Organization</w:t>
            </w:r>
          </w:p>
        </w:tc>
        <w:tc>
          <w:tcPr>
            <w:tcW w:w="4675" w:type="dxa"/>
          </w:tcPr>
          <w:p w14:paraId="0B1B30C5" w14:textId="0F292A15" w:rsidR="00C23CD6" w:rsidRDefault="00C23CD6" w:rsidP="0036786C">
            <w:pPr>
              <w:pStyle w:val="BodyTextafterheading"/>
              <w:ind w:left="144"/>
              <w:cnfStyle w:val="100000000000" w:firstRow="1" w:lastRow="0" w:firstColumn="0" w:lastColumn="0" w:oddVBand="0" w:evenVBand="0" w:oddHBand="0" w:evenHBand="0" w:firstRowFirstColumn="0" w:firstRowLastColumn="0" w:lastRowFirstColumn="0" w:lastRowLastColumn="0"/>
            </w:pPr>
            <w:r>
              <w:t>Service(s)</w:t>
            </w:r>
          </w:p>
        </w:tc>
      </w:tr>
      <w:tr w:rsidR="009710F7" w14:paraId="4CE0AEB0" w14:textId="77777777" w:rsidTr="001905D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03B14B21" w14:textId="77777777" w:rsidR="009710F7" w:rsidRDefault="009710F7" w:rsidP="001905DC">
            <w:pPr>
              <w:spacing w:line="276" w:lineRule="auto"/>
              <w:ind w:left="144"/>
              <w:rPr>
                <w:rFonts w:ascii="Verdana" w:hAnsi="Verdana"/>
              </w:rPr>
            </w:pPr>
            <w:r>
              <w:rPr>
                <w:rFonts w:ascii="Verdana" w:hAnsi="Verdana"/>
              </w:rPr>
              <w:t>Advantage Care Services</w:t>
            </w:r>
          </w:p>
        </w:tc>
        <w:tc>
          <w:tcPr>
            <w:tcW w:w="4675" w:type="dxa"/>
          </w:tcPr>
          <w:p w14:paraId="439BD900" w14:textId="77777777" w:rsidR="009710F7" w:rsidRDefault="009710F7" w:rsidP="001905DC">
            <w:pPr>
              <w:spacing w:line="276" w:lineRule="auto"/>
              <w:ind w:left="144"/>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Day Program</w:t>
            </w:r>
          </w:p>
        </w:tc>
      </w:tr>
      <w:tr w:rsidR="009710F7" w14:paraId="07C4FD66" w14:textId="77777777" w:rsidTr="001905D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629A8009" w14:textId="77777777" w:rsidR="009710F7" w:rsidRDefault="009710F7" w:rsidP="001905DC">
            <w:pPr>
              <w:spacing w:line="276" w:lineRule="auto"/>
              <w:ind w:left="144"/>
              <w:rPr>
                <w:rFonts w:ascii="Verdana" w:hAnsi="Verdana"/>
              </w:rPr>
            </w:pPr>
            <w:r>
              <w:rPr>
                <w:rFonts w:ascii="Verdana" w:hAnsi="Verdana"/>
              </w:rPr>
              <w:t xml:space="preserve">Along for </w:t>
            </w:r>
            <w:proofErr w:type="gramStart"/>
            <w:r>
              <w:rPr>
                <w:rFonts w:ascii="Verdana" w:hAnsi="Verdana"/>
              </w:rPr>
              <w:t>the Ride</w:t>
            </w:r>
            <w:proofErr w:type="gramEnd"/>
            <w:r>
              <w:rPr>
                <w:rFonts w:ascii="Verdana" w:hAnsi="Verdana"/>
              </w:rPr>
              <w:t xml:space="preserve"> Day Services, LLC</w:t>
            </w:r>
          </w:p>
        </w:tc>
        <w:tc>
          <w:tcPr>
            <w:tcW w:w="4675" w:type="dxa"/>
          </w:tcPr>
          <w:p w14:paraId="5C2EBAE6" w14:textId="77777777" w:rsidR="009710F7" w:rsidRDefault="009710F7" w:rsidP="001905DC">
            <w:pPr>
              <w:spacing w:line="276" w:lineRule="auto"/>
              <w:ind w:left="144"/>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Day Program </w:t>
            </w:r>
          </w:p>
        </w:tc>
      </w:tr>
      <w:tr w:rsidR="009710F7" w:rsidRPr="00843A21" w14:paraId="6F5C4AEE" w14:textId="77777777" w:rsidTr="001905D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2B39DE7D" w14:textId="77777777" w:rsidR="009710F7" w:rsidRPr="00843A21" w:rsidRDefault="009710F7" w:rsidP="001905DC">
            <w:pPr>
              <w:spacing w:line="276" w:lineRule="auto"/>
              <w:ind w:left="144"/>
              <w:rPr>
                <w:rFonts w:ascii="Verdana" w:hAnsi="Verdana"/>
              </w:rPr>
            </w:pPr>
            <w:r>
              <w:rPr>
                <w:rFonts w:ascii="Verdana" w:hAnsi="Verdana"/>
              </w:rPr>
              <w:t>Amazing’ Grace Day Habilitation</w:t>
            </w:r>
          </w:p>
        </w:tc>
        <w:tc>
          <w:tcPr>
            <w:tcW w:w="4675" w:type="dxa"/>
          </w:tcPr>
          <w:p w14:paraId="6619303C" w14:textId="77777777" w:rsidR="009710F7" w:rsidRPr="00843A21" w:rsidRDefault="009710F7" w:rsidP="001905DC">
            <w:pPr>
              <w:spacing w:line="276" w:lineRule="auto"/>
              <w:ind w:left="144"/>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Day Program</w:t>
            </w:r>
          </w:p>
        </w:tc>
      </w:tr>
      <w:tr w:rsidR="009710F7" w:rsidRPr="00843A21" w14:paraId="5B6E8272" w14:textId="77777777" w:rsidTr="001905D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42B38432" w14:textId="77777777" w:rsidR="009710F7" w:rsidRPr="00843A21" w:rsidRDefault="009710F7" w:rsidP="001905DC">
            <w:pPr>
              <w:spacing w:line="276" w:lineRule="auto"/>
              <w:ind w:left="144"/>
              <w:rPr>
                <w:rFonts w:ascii="Verdana" w:hAnsi="Verdana"/>
              </w:rPr>
            </w:pPr>
            <w:r w:rsidRPr="00843A21">
              <w:rPr>
                <w:rFonts w:ascii="Verdana" w:hAnsi="Verdana"/>
              </w:rPr>
              <w:t xml:space="preserve">Ascension Seton </w:t>
            </w:r>
            <w:proofErr w:type="gramStart"/>
            <w:r w:rsidRPr="00843A21">
              <w:rPr>
                <w:rFonts w:ascii="Verdana" w:hAnsi="Verdana"/>
              </w:rPr>
              <w:t>dba</w:t>
            </w:r>
            <w:proofErr w:type="gramEnd"/>
            <w:r w:rsidRPr="00843A21">
              <w:rPr>
                <w:rFonts w:ascii="Verdana" w:hAnsi="Verdana"/>
              </w:rPr>
              <w:t xml:space="preserve"> Ascension Seton Shoal Creek</w:t>
            </w:r>
          </w:p>
        </w:tc>
        <w:tc>
          <w:tcPr>
            <w:tcW w:w="4675" w:type="dxa"/>
          </w:tcPr>
          <w:p w14:paraId="7BE35631" w14:textId="77777777" w:rsidR="009710F7" w:rsidRPr="00843A21" w:rsidRDefault="009710F7" w:rsidP="001905DC">
            <w:pPr>
              <w:spacing w:line="276" w:lineRule="auto"/>
              <w:ind w:left="144"/>
              <w:cnfStyle w:val="000000010000" w:firstRow="0" w:lastRow="0" w:firstColumn="0" w:lastColumn="0" w:oddVBand="0" w:evenVBand="0" w:oddHBand="0" w:evenHBand="1" w:firstRowFirstColumn="0" w:firstRowLastColumn="0" w:lastRowFirstColumn="0" w:lastRowLastColumn="0"/>
              <w:rPr>
                <w:rFonts w:ascii="Verdana" w:hAnsi="Verdana"/>
              </w:rPr>
            </w:pPr>
            <w:r w:rsidRPr="00843A21">
              <w:rPr>
                <w:rFonts w:ascii="Verdana" w:hAnsi="Verdana"/>
              </w:rPr>
              <w:t>Private Psychiatric Beds</w:t>
            </w:r>
          </w:p>
        </w:tc>
      </w:tr>
      <w:tr w:rsidR="009710F7" w:rsidRPr="00843A21" w14:paraId="3319007B" w14:textId="77777777" w:rsidTr="001905D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398F37F1" w14:textId="77777777" w:rsidR="009710F7" w:rsidRPr="00843A21" w:rsidRDefault="009710F7" w:rsidP="001905DC">
            <w:pPr>
              <w:spacing w:line="276" w:lineRule="auto"/>
              <w:ind w:left="144"/>
              <w:rPr>
                <w:rFonts w:ascii="Verdana" w:hAnsi="Verdana"/>
              </w:rPr>
            </w:pPr>
            <w:r w:rsidRPr="00843A21">
              <w:rPr>
                <w:rFonts w:ascii="Verdana" w:hAnsi="Verdana"/>
              </w:rPr>
              <w:t xml:space="preserve">Ascension Seton </w:t>
            </w:r>
            <w:proofErr w:type="gramStart"/>
            <w:r w:rsidRPr="00843A21">
              <w:rPr>
                <w:rFonts w:ascii="Verdana" w:hAnsi="Verdana"/>
              </w:rPr>
              <w:t>dba</w:t>
            </w:r>
            <w:proofErr w:type="gramEnd"/>
            <w:r w:rsidRPr="00843A21">
              <w:rPr>
                <w:rFonts w:ascii="Verdana" w:hAnsi="Verdana"/>
              </w:rPr>
              <w:t xml:space="preserve"> Dell Children's Medical Center</w:t>
            </w:r>
          </w:p>
        </w:tc>
        <w:tc>
          <w:tcPr>
            <w:tcW w:w="4675" w:type="dxa"/>
          </w:tcPr>
          <w:p w14:paraId="4661DAF0" w14:textId="77777777" w:rsidR="009710F7" w:rsidRPr="00843A21" w:rsidRDefault="009710F7" w:rsidP="001905DC">
            <w:pPr>
              <w:spacing w:line="276" w:lineRule="auto"/>
              <w:ind w:left="144"/>
              <w:cnfStyle w:val="000000100000" w:firstRow="0" w:lastRow="0" w:firstColumn="0" w:lastColumn="0" w:oddVBand="0" w:evenVBand="0" w:oddHBand="1" w:evenHBand="0" w:firstRowFirstColumn="0" w:firstRowLastColumn="0" w:lastRowFirstColumn="0" w:lastRowLastColumn="0"/>
              <w:rPr>
                <w:rFonts w:ascii="Verdana" w:hAnsi="Verdana"/>
              </w:rPr>
            </w:pPr>
            <w:r w:rsidRPr="00843A21">
              <w:rPr>
                <w:rFonts w:ascii="Verdana" w:hAnsi="Verdana"/>
              </w:rPr>
              <w:t>Private Psychiatric Beds</w:t>
            </w:r>
          </w:p>
        </w:tc>
      </w:tr>
      <w:tr w:rsidR="009710F7" w:rsidRPr="00843A21" w14:paraId="42AA1BD8" w14:textId="77777777" w:rsidTr="001905D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6134399C" w14:textId="77777777" w:rsidR="009710F7" w:rsidRPr="00843A21" w:rsidRDefault="009710F7" w:rsidP="001905DC">
            <w:pPr>
              <w:spacing w:line="276" w:lineRule="auto"/>
              <w:ind w:left="144"/>
              <w:rPr>
                <w:rFonts w:ascii="Verdana" w:hAnsi="Verdana"/>
              </w:rPr>
            </w:pPr>
            <w:r w:rsidRPr="00843A21">
              <w:rPr>
                <w:rFonts w:ascii="Verdana" w:hAnsi="Verdana"/>
              </w:rPr>
              <w:lastRenderedPageBreak/>
              <w:t>Austin Behavioral Health, LLC dba Cross Creek Hospital</w:t>
            </w:r>
          </w:p>
        </w:tc>
        <w:tc>
          <w:tcPr>
            <w:tcW w:w="4675" w:type="dxa"/>
          </w:tcPr>
          <w:p w14:paraId="2B930817" w14:textId="77777777" w:rsidR="009710F7" w:rsidRPr="00843A21" w:rsidRDefault="009710F7" w:rsidP="001905DC">
            <w:pPr>
              <w:spacing w:line="276" w:lineRule="auto"/>
              <w:ind w:left="144"/>
              <w:cnfStyle w:val="000000010000" w:firstRow="0" w:lastRow="0" w:firstColumn="0" w:lastColumn="0" w:oddVBand="0" w:evenVBand="0" w:oddHBand="0" w:evenHBand="1" w:firstRowFirstColumn="0" w:firstRowLastColumn="0" w:lastRowFirstColumn="0" w:lastRowLastColumn="0"/>
              <w:rPr>
                <w:rFonts w:ascii="Verdana" w:hAnsi="Verdana"/>
              </w:rPr>
            </w:pPr>
            <w:r w:rsidRPr="00843A21">
              <w:rPr>
                <w:rFonts w:ascii="Verdana" w:hAnsi="Verdana"/>
              </w:rPr>
              <w:t>Private Psychiatric Beds</w:t>
            </w:r>
          </w:p>
        </w:tc>
      </w:tr>
      <w:tr w:rsidR="009710F7" w:rsidRPr="00843A21" w14:paraId="499B7EAD" w14:textId="77777777" w:rsidTr="001905D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12FAFDDF" w14:textId="77777777" w:rsidR="009710F7" w:rsidRPr="00843A21" w:rsidRDefault="009710F7" w:rsidP="001905DC">
            <w:pPr>
              <w:spacing w:line="276" w:lineRule="auto"/>
              <w:ind w:left="144"/>
              <w:rPr>
                <w:rFonts w:ascii="Verdana" w:hAnsi="Verdana"/>
              </w:rPr>
            </w:pPr>
            <w:r w:rsidRPr="00843A21">
              <w:rPr>
                <w:rFonts w:ascii="Verdana" w:hAnsi="Verdana"/>
              </w:rPr>
              <w:t>AVAIL Solutions</w:t>
            </w:r>
          </w:p>
        </w:tc>
        <w:tc>
          <w:tcPr>
            <w:tcW w:w="4675" w:type="dxa"/>
          </w:tcPr>
          <w:p w14:paraId="41EA03AB" w14:textId="77777777" w:rsidR="009710F7" w:rsidRPr="00843A21" w:rsidRDefault="009710F7" w:rsidP="001905DC">
            <w:pPr>
              <w:spacing w:line="276" w:lineRule="auto"/>
              <w:ind w:left="144"/>
              <w:cnfStyle w:val="000000100000" w:firstRow="0" w:lastRow="0" w:firstColumn="0" w:lastColumn="0" w:oddVBand="0" w:evenVBand="0" w:oddHBand="1" w:evenHBand="0" w:firstRowFirstColumn="0" w:firstRowLastColumn="0" w:lastRowFirstColumn="0" w:lastRowLastColumn="0"/>
              <w:rPr>
                <w:rFonts w:ascii="Verdana" w:hAnsi="Verdana"/>
              </w:rPr>
            </w:pPr>
            <w:r w:rsidRPr="00843A21">
              <w:rPr>
                <w:rFonts w:ascii="Verdana" w:hAnsi="Verdana"/>
              </w:rPr>
              <w:t>Crisis Hotline Call Center Services</w:t>
            </w:r>
          </w:p>
        </w:tc>
      </w:tr>
      <w:tr w:rsidR="009710F7" w:rsidRPr="7263DC8A" w14:paraId="2D7CCF02" w14:textId="77777777" w:rsidTr="001905D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6D579E98" w14:textId="77777777" w:rsidR="009710F7" w:rsidRPr="00843A21" w:rsidRDefault="009710F7" w:rsidP="001905DC">
            <w:pPr>
              <w:spacing w:line="276" w:lineRule="auto"/>
              <w:ind w:left="144"/>
              <w:rPr>
                <w:rFonts w:ascii="Verdana" w:hAnsi="Verdana"/>
              </w:rPr>
            </w:pPr>
            <w:r>
              <w:rPr>
                <w:rFonts w:ascii="Verdana" w:hAnsi="Verdana"/>
              </w:rPr>
              <w:t>Blessing Day Habilitation Service</w:t>
            </w:r>
          </w:p>
        </w:tc>
        <w:tc>
          <w:tcPr>
            <w:tcW w:w="4675" w:type="dxa"/>
          </w:tcPr>
          <w:p w14:paraId="556C0EB3" w14:textId="77777777" w:rsidR="009710F7" w:rsidRPr="7263DC8A" w:rsidRDefault="009710F7" w:rsidP="001905DC">
            <w:pPr>
              <w:spacing w:line="276" w:lineRule="auto"/>
              <w:ind w:left="144"/>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Day Program</w:t>
            </w:r>
          </w:p>
        </w:tc>
      </w:tr>
      <w:tr w:rsidR="009710F7" w:rsidRPr="00843A21" w14:paraId="4D1F3AC9" w14:textId="77777777" w:rsidTr="001905D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281E3B5F" w14:textId="77777777" w:rsidR="009710F7" w:rsidRPr="00843A21" w:rsidRDefault="009710F7" w:rsidP="001905DC">
            <w:pPr>
              <w:spacing w:line="276" w:lineRule="auto"/>
              <w:ind w:left="144"/>
              <w:rPr>
                <w:rFonts w:ascii="Verdana" w:hAnsi="Verdana"/>
              </w:rPr>
            </w:pPr>
            <w:r w:rsidRPr="00843A21">
              <w:rPr>
                <w:rFonts w:ascii="Verdana" w:hAnsi="Verdana"/>
              </w:rPr>
              <w:t>Border Region Behavioral Health Center</w:t>
            </w:r>
          </w:p>
        </w:tc>
        <w:tc>
          <w:tcPr>
            <w:tcW w:w="4675" w:type="dxa"/>
          </w:tcPr>
          <w:p w14:paraId="2AD87578" w14:textId="77777777" w:rsidR="009710F7" w:rsidRPr="00843A21" w:rsidRDefault="009710F7" w:rsidP="001905DC">
            <w:pPr>
              <w:spacing w:line="276" w:lineRule="auto"/>
              <w:ind w:left="144"/>
              <w:cnfStyle w:val="000000100000" w:firstRow="0" w:lastRow="0" w:firstColumn="0" w:lastColumn="0" w:oddVBand="0" w:evenVBand="0" w:oddHBand="1" w:evenHBand="0" w:firstRowFirstColumn="0" w:firstRowLastColumn="0" w:lastRowFirstColumn="0" w:lastRowLastColumn="0"/>
              <w:rPr>
                <w:rFonts w:ascii="Verdana" w:hAnsi="Verdana"/>
              </w:rPr>
            </w:pPr>
            <w:r w:rsidRPr="7263DC8A">
              <w:rPr>
                <w:rFonts w:ascii="Verdana" w:hAnsi="Verdana"/>
              </w:rPr>
              <w:t>Crisis Center</w:t>
            </w:r>
          </w:p>
        </w:tc>
      </w:tr>
      <w:tr w:rsidR="009710F7" w14:paraId="03CE08F4" w14:textId="77777777" w:rsidTr="001905D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421F01B8" w14:textId="77777777" w:rsidR="009710F7" w:rsidRDefault="009710F7" w:rsidP="001905DC">
            <w:pPr>
              <w:spacing w:line="276" w:lineRule="auto"/>
              <w:ind w:left="144"/>
              <w:rPr>
                <w:rFonts w:ascii="Verdana" w:hAnsi="Verdana"/>
              </w:rPr>
            </w:pPr>
            <w:r>
              <w:rPr>
                <w:rFonts w:ascii="Verdana" w:hAnsi="Verdana"/>
              </w:rPr>
              <w:t>Camp Cummins Activity Center</w:t>
            </w:r>
          </w:p>
        </w:tc>
        <w:tc>
          <w:tcPr>
            <w:tcW w:w="4675" w:type="dxa"/>
          </w:tcPr>
          <w:p w14:paraId="3A91BB5F" w14:textId="77777777" w:rsidR="009710F7" w:rsidRDefault="009710F7" w:rsidP="001905DC">
            <w:pPr>
              <w:spacing w:line="276" w:lineRule="auto"/>
              <w:ind w:left="144"/>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Day Program</w:t>
            </w:r>
          </w:p>
        </w:tc>
      </w:tr>
      <w:tr w:rsidR="009710F7" w:rsidRPr="00843A21" w14:paraId="1CDEB018" w14:textId="77777777" w:rsidTr="001905D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123A192A" w14:textId="77777777" w:rsidR="009710F7" w:rsidRPr="00843A21" w:rsidRDefault="009710F7" w:rsidP="001905DC">
            <w:pPr>
              <w:spacing w:line="276" w:lineRule="auto"/>
              <w:ind w:left="144"/>
              <w:rPr>
                <w:rFonts w:ascii="Verdana" w:hAnsi="Verdana"/>
              </w:rPr>
            </w:pPr>
            <w:r>
              <w:rPr>
                <w:rFonts w:ascii="Verdana" w:hAnsi="Verdana"/>
              </w:rPr>
              <w:t>Capital Day Hab</w:t>
            </w:r>
          </w:p>
        </w:tc>
        <w:tc>
          <w:tcPr>
            <w:tcW w:w="4675" w:type="dxa"/>
          </w:tcPr>
          <w:p w14:paraId="59E40D4A" w14:textId="77777777" w:rsidR="009710F7" w:rsidRPr="00843A21" w:rsidRDefault="009710F7" w:rsidP="001905DC">
            <w:pPr>
              <w:spacing w:line="276" w:lineRule="auto"/>
              <w:ind w:left="144"/>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Day Program</w:t>
            </w:r>
          </w:p>
        </w:tc>
      </w:tr>
      <w:tr w:rsidR="009710F7" w:rsidRPr="00843A21" w14:paraId="02F0B574" w14:textId="77777777" w:rsidTr="001905D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261644E3" w14:textId="77777777" w:rsidR="009710F7" w:rsidRPr="00843A21" w:rsidRDefault="009710F7" w:rsidP="001905DC">
            <w:pPr>
              <w:spacing w:line="276" w:lineRule="auto"/>
              <w:ind w:left="144"/>
              <w:rPr>
                <w:rFonts w:ascii="Verdana" w:hAnsi="Verdana"/>
              </w:rPr>
            </w:pPr>
            <w:r w:rsidRPr="00843A21">
              <w:rPr>
                <w:rFonts w:ascii="Verdana" w:hAnsi="Verdana"/>
              </w:rPr>
              <w:t>Carma Health</w:t>
            </w:r>
          </w:p>
        </w:tc>
        <w:tc>
          <w:tcPr>
            <w:tcW w:w="4675" w:type="dxa"/>
          </w:tcPr>
          <w:p w14:paraId="3F5D8CD6" w14:textId="77777777" w:rsidR="009710F7" w:rsidRPr="00843A21" w:rsidRDefault="009710F7" w:rsidP="001905DC">
            <w:pPr>
              <w:spacing w:line="276" w:lineRule="auto"/>
              <w:ind w:left="144"/>
              <w:cnfStyle w:val="000000010000" w:firstRow="0" w:lastRow="0" w:firstColumn="0" w:lastColumn="0" w:oddVBand="0" w:evenVBand="0" w:oddHBand="0" w:evenHBand="1" w:firstRowFirstColumn="0" w:firstRowLastColumn="0" w:lastRowFirstColumn="0" w:lastRowLastColumn="0"/>
              <w:rPr>
                <w:rFonts w:ascii="Verdana" w:hAnsi="Verdana"/>
              </w:rPr>
            </w:pPr>
            <w:r w:rsidRPr="00843A21">
              <w:rPr>
                <w:rFonts w:ascii="Verdana" w:hAnsi="Verdana"/>
              </w:rPr>
              <w:t>Addiction Psychiatry Consultation Services</w:t>
            </w:r>
          </w:p>
        </w:tc>
      </w:tr>
      <w:tr w:rsidR="009710F7" w:rsidRPr="00843A21" w14:paraId="5E78CF71" w14:textId="77777777" w:rsidTr="001905D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676DD018" w14:textId="77777777" w:rsidR="009710F7" w:rsidRPr="00843A21" w:rsidRDefault="009710F7" w:rsidP="001905DC">
            <w:pPr>
              <w:spacing w:line="276" w:lineRule="auto"/>
              <w:ind w:left="144"/>
              <w:rPr>
                <w:rFonts w:ascii="Verdana" w:hAnsi="Verdana"/>
              </w:rPr>
            </w:pPr>
            <w:r w:rsidRPr="00843A21">
              <w:rPr>
                <w:rFonts w:ascii="Verdana" w:hAnsi="Verdana"/>
              </w:rPr>
              <w:t>Chayah Ministries, Inc.</w:t>
            </w:r>
          </w:p>
        </w:tc>
        <w:tc>
          <w:tcPr>
            <w:tcW w:w="4675" w:type="dxa"/>
          </w:tcPr>
          <w:p w14:paraId="7AD52852" w14:textId="77777777" w:rsidR="009710F7" w:rsidRPr="00843A21" w:rsidRDefault="009710F7" w:rsidP="001905DC">
            <w:pPr>
              <w:spacing w:line="276" w:lineRule="auto"/>
              <w:ind w:left="144"/>
              <w:cnfStyle w:val="000000100000" w:firstRow="0" w:lastRow="0" w:firstColumn="0" w:lastColumn="0" w:oddVBand="0" w:evenVBand="0" w:oddHBand="1" w:evenHBand="0" w:firstRowFirstColumn="0" w:firstRowLastColumn="0" w:lastRowFirstColumn="0" w:lastRowLastColumn="0"/>
              <w:rPr>
                <w:rFonts w:ascii="Verdana" w:hAnsi="Verdana"/>
              </w:rPr>
            </w:pPr>
            <w:r w:rsidRPr="00843A21">
              <w:rPr>
                <w:rFonts w:ascii="Verdana" w:hAnsi="Verdana"/>
              </w:rPr>
              <w:t>Network Provider for YES Waiver</w:t>
            </w:r>
          </w:p>
        </w:tc>
      </w:tr>
      <w:tr w:rsidR="009710F7" w:rsidRPr="00843A21" w14:paraId="0D158890" w14:textId="77777777" w:rsidTr="001905D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5BBB136A" w14:textId="77777777" w:rsidR="009710F7" w:rsidRPr="00843A21" w:rsidRDefault="009710F7" w:rsidP="001905DC">
            <w:pPr>
              <w:spacing w:line="276" w:lineRule="auto"/>
              <w:ind w:left="144"/>
              <w:rPr>
                <w:rFonts w:ascii="Verdana" w:hAnsi="Verdana"/>
              </w:rPr>
            </w:pPr>
            <w:r w:rsidRPr="00843A21">
              <w:rPr>
                <w:rFonts w:ascii="Verdana" w:hAnsi="Verdana"/>
              </w:rPr>
              <w:t>Coastal Plains Community Center</w:t>
            </w:r>
          </w:p>
        </w:tc>
        <w:tc>
          <w:tcPr>
            <w:tcW w:w="4675" w:type="dxa"/>
          </w:tcPr>
          <w:p w14:paraId="32E4C2E5" w14:textId="77777777" w:rsidR="009710F7" w:rsidRPr="00843A21" w:rsidRDefault="009710F7" w:rsidP="001905DC">
            <w:pPr>
              <w:spacing w:line="276" w:lineRule="auto"/>
              <w:ind w:left="144"/>
              <w:cnfStyle w:val="000000010000" w:firstRow="0" w:lastRow="0" w:firstColumn="0" w:lastColumn="0" w:oddVBand="0" w:evenVBand="0" w:oddHBand="0" w:evenHBand="1" w:firstRowFirstColumn="0" w:firstRowLastColumn="0" w:lastRowFirstColumn="0" w:lastRowLastColumn="0"/>
              <w:rPr>
                <w:rFonts w:ascii="Verdana" w:hAnsi="Verdana"/>
              </w:rPr>
            </w:pPr>
            <w:r w:rsidRPr="7263DC8A">
              <w:rPr>
                <w:rFonts w:ascii="Verdana" w:hAnsi="Verdana"/>
              </w:rPr>
              <w:t>Crisis Center</w:t>
            </w:r>
          </w:p>
        </w:tc>
      </w:tr>
      <w:tr w:rsidR="009710F7" w:rsidRPr="00843A21" w14:paraId="00D8A7B6" w14:textId="77777777" w:rsidTr="001905D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0E24A6BA" w14:textId="77777777" w:rsidR="009710F7" w:rsidRPr="00843A21" w:rsidRDefault="009710F7" w:rsidP="001905DC">
            <w:pPr>
              <w:spacing w:line="276" w:lineRule="auto"/>
              <w:ind w:left="144"/>
              <w:rPr>
                <w:rFonts w:ascii="Verdana" w:hAnsi="Verdana"/>
              </w:rPr>
            </w:pPr>
            <w:r w:rsidRPr="00843A21">
              <w:rPr>
                <w:rFonts w:ascii="Verdana" w:hAnsi="Verdana"/>
              </w:rPr>
              <w:t xml:space="preserve">Community Health Centers of </w:t>
            </w:r>
            <w:proofErr w:type="gramStart"/>
            <w:r w:rsidRPr="00843A21">
              <w:rPr>
                <w:rFonts w:ascii="Verdana" w:hAnsi="Verdana"/>
              </w:rPr>
              <w:t>South Central</w:t>
            </w:r>
            <w:proofErr w:type="gramEnd"/>
            <w:r w:rsidRPr="00843A21">
              <w:rPr>
                <w:rFonts w:ascii="Verdana" w:hAnsi="Verdana"/>
              </w:rPr>
              <w:t xml:space="preserve"> Texas (CHCSCT)</w:t>
            </w:r>
          </w:p>
        </w:tc>
        <w:tc>
          <w:tcPr>
            <w:tcW w:w="4675" w:type="dxa"/>
          </w:tcPr>
          <w:p w14:paraId="2F1CD9B4" w14:textId="77777777" w:rsidR="009710F7" w:rsidRPr="00843A21" w:rsidRDefault="009710F7" w:rsidP="001905DC">
            <w:pPr>
              <w:spacing w:line="276" w:lineRule="auto"/>
              <w:ind w:left="144"/>
              <w:cnfStyle w:val="000000100000" w:firstRow="0" w:lastRow="0" w:firstColumn="0" w:lastColumn="0" w:oddVBand="0" w:evenVBand="0" w:oddHBand="1" w:evenHBand="0" w:firstRowFirstColumn="0" w:firstRowLastColumn="0" w:lastRowFirstColumn="0" w:lastRowLastColumn="0"/>
              <w:rPr>
                <w:rFonts w:ascii="Verdana" w:hAnsi="Verdana"/>
              </w:rPr>
            </w:pPr>
            <w:r w:rsidRPr="00843A21">
              <w:rPr>
                <w:rFonts w:ascii="Verdana" w:hAnsi="Verdana"/>
              </w:rPr>
              <w:t>Primary Care and Dental Services</w:t>
            </w:r>
          </w:p>
        </w:tc>
      </w:tr>
      <w:tr w:rsidR="009710F7" w:rsidRPr="00843A21" w14:paraId="736176D5" w14:textId="77777777" w:rsidTr="001905D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12A69204" w14:textId="77777777" w:rsidR="009710F7" w:rsidRPr="00843A21" w:rsidRDefault="009710F7" w:rsidP="001905DC">
            <w:pPr>
              <w:spacing w:line="276" w:lineRule="auto"/>
              <w:ind w:left="144"/>
              <w:rPr>
                <w:rFonts w:ascii="Verdana" w:hAnsi="Verdana"/>
              </w:rPr>
            </w:pPr>
            <w:r w:rsidRPr="00843A21">
              <w:rPr>
                <w:rFonts w:ascii="Verdana" w:hAnsi="Verdana"/>
              </w:rPr>
              <w:t>Complete Therapies</w:t>
            </w:r>
            <w:r>
              <w:rPr>
                <w:rFonts w:ascii="Verdana" w:hAnsi="Verdana"/>
              </w:rPr>
              <w:t>,</w:t>
            </w:r>
            <w:r w:rsidRPr="00843A21">
              <w:rPr>
                <w:rFonts w:ascii="Verdana" w:hAnsi="Verdana"/>
              </w:rPr>
              <w:t xml:space="preserve"> LLC</w:t>
            </w:r>
          </w:p>
        </w:tc>
        <w:tc>
          <w:tcPr>
            <w:tcW w:w="4675" w:type="dxa"/>
          </w:tcPr>
          <w:p w14:paraId="1B3C4CF8" w14:textId="77777777" w:rsidR="009710F7" w:rsidRPr="00843A21" w:rsidRDefault="009710F7" w:rsidP="001905DC">
            <w:pPr>
              <w:spacing w:line="276" w:lineRule="auto"/>
              <w:ind w:left="144"/>
              <w:cnfStyle w:val="000000010000" w:firstRow="0" w:lastRow="0" w:firstColumn="0" w:lastColumn="0" w:oddVBand="0" w:evenVBand="0" w:oddHBand="0" w:evenHBand="1" w:firstRowFirstColumn="0" w:firstRowLastColumn="0" w:lastRowFirstColumn="0" w:lastRowLastColumn="0"/>
              <w:rPr>
                <w:rFonts w:ascii="Verdana" w:hAnsi="Verdana"/>
              </w:rPr>
            </w:pPr>
            <w:r w:rsidRPr="00843A21">
              <w:rPr>
                <w:rFonts w:ascii="Verdana" w:hAnsi="Verdana"/>
              </w:rPr>
              <w:t>Network Provider for YES Waiver</w:t>
            </w:r>
          </w:p>
        </w:tc>
      </w:tr>
      <w:tr w:rsidR="009710F7" w:rsidRPr="00843A21" w14:paraId="1104AC10" w14:textId="77777777" w:rsidTr="001905D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7D18BC6E" w14:textId="77777777" w:rsidR="009710F7" w:rsidRPr="00843A21" w:rsidRDefault="009710F7" w:rsidP="001905DC">
            <w:pPr>
              <w:spacing w:line="276" w:lineRule="auto"/>
              <w:ind w:left="144"/>
              <w:rPr>
                <w:rFonts w:ascii="Verdana" w:hAnsi="Verdana"/>
              </w:rPr>
            </w:pPr>
            <w:r w:rsidRPr="00843A21">
              <w:rPr>
                <w:rFonts w:ascii="Verdana" w:hAnsi="Verdana"/>
              </w:rPr>
              <w:t>Critical Health Connection</w:t>
            </w:r>
            <w:r>
              <w:rPr>
                <w:rFonts w:ascii="Verdana" w:hAnsi="Verdana"/>
              </w:rPr>
              <w:t>,</w:t>
            </w:r>
            <w:r w:rsidRPr="00843A21">
              <w:rPr>
                <w:rFonts w:ascii="Verdana" w:hAnsi="Verdana"/>
              </w:rPr>
              <w:t xml:space="preserve"> LLC</w:t>
            </w:r>
          </w:p>
        </w:tc>
        <w:tc>
          <w:tcPr>
            <w:tcW w:w="4675" w:type="dxa"/>
          </w:tcPr>
          <w:p w14:paraId="3901B189" w14:textId="77777777" w:rsidR="009710F7" w:rsidRPr="00843A21" w:rsidRDefault="009710F7" w:rsidP="001905DC">
            <w:pPr>
              <w:spacing w:line="276" w:lineRule="auto"/>
              <w:ind w:left="144"/>
              <w:cnfStyle w:val="000000100000" w:firstRow="0" w:lastRow="0" w:firstColumn="0" w:lastColumn="0" w:oddVBand="0" w:evenVBand="0" w:oddHBand="1" w:evenHBand="0" w:firstRowFirstColumn="0" w:firstRowLastColumn="0" w:lastRowFirstColumn="0" w:lastRowLastColumn="0"/>
              <w:rPr>
                <w:rFonts w:ascii="Verdana" w:hAnsi="Verdana"/>
              </w:rPr>
            </w:pPr>
            <w:r w:rsidRPr="00843A21">
              <w:rPr>
                <w:rFonts w:ascii="Verdana" w:hAnsi="Verdana"/>
              </w:rPr>
              <w:t>Network Provider for YES Waiver</w:t>
            </w:r>
          </w:p>
        </w:tc>
      </w:tr>
      <w:tr w:rsidR="009710F7" w:rsidRPr="00843A21" w14:paraId="1E1FDDD5" w14:textId="77777777" w:rsidTr="001905D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7B49ACBD" w14:textId="77777777" w:rsidR="009710F7" w:rsidRPr="00843A21" w:rsidRDefault="009710F7" w:rsidP="001905DC">
            <w:pPr>
              <w:spacing w:line="276" w:lineRule="auto"/>
              <w:ind w:left="144"/>
              <w:rPr>
                <w:rFonts w:ascii="Verdana" w:hAnsi="Verdana"/>
              </w:rPr>
            </w:pPr>
            <w:r>
              <w:rPr>
                <w:rFonts w:ascii="Verdana" w:hAnsi="Verdana"/>
              </w:rPr>
              <w:t>Decade Day Service, LLC</w:t>
            </w:r>
          </w:p>
        </w:tc>
        <w:tc>
          <w:tcPr>
            <w:tcW w:w="4675" w:type="dxa"/>
          </w:tcPr>
          <w:p w14:paraId="5474C113" w14:textId="77777777" w:rsidR="009710F7" w:rsidRPr="00843A21" w:rsidRDefault="009710F7" w:rsidP="001905DC">
            <w:pPr>
              <w:spacing w:line="276" w:lineRule="auto"/>
              <w:ind w:left="144"/>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Day Program (Community Based Services)</w:t>
            </w:r>
          </w:p>
        </w:tc>
      </w:tr>
      <w:tr w:rsidR="009710F7" w:rsidRPr="00843A21" w14:paraId="54BDA06E" w14:textId="77777777" w:rsidTr="001905D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478DE562" w14:textId="77777777" w:rsidR="009710F7" w:rsidRPr="00843A21" w:rsidRDefault="009710F7" w:rsidP="001905DC">
            <w:pPr>
              <w:spacing w:line="276" w:lineRule="auto"/>
              <w:ind w:left="144"/>
              <w:rPr>
                <w:rFonts w:ascii="Verdana" w:hAnsi="Verdana"/>
              </w:rPr>
            </w:pPr>
            <w:r w:rsidRPr="00843A21">
              <w:rPr>
                <w:rFonts w:ascii="Verdana" w:hAnsi="Verdana"/>
              </w:rPr>
              <w:t xml:space="preserve">Dell Medical School </w:t>
            </w:r>
          </w:p>
        </w:tc>
        <w:tc>
          <w:tcPr>
            <w:tcW w:w="4675" w:type="dxa"/>
          </w:tcPr>
          <w:p w14:paraId="29A5B280" w14:textId="77777777" w:rsidR="009710F7" w:rsidRPr="00843A21" w:rsidRDefault="009710F7" w:rsidP="001905DC">
            <w:pPr>
              <w:spacing w:line="276" w:lineRule="auto"/>
              <w:ind w:left="144"/>
              <w:cnfStyle w:val="000000100000" w:firstRow="0" w:lastRow="0" w:firstColumn="0" w:lastColumn="0" w:oddVBand="0" w:evenVBand="0" w:oddHBand="1" w:evenHBand="0" w:firstRowFirstColumn="0" w:firstRowLastColumn="0" w:lastRowFirstColumn="0" w:lastRowLastColumn="0"/>
              <w:rPr>
                <w:rFonts w:ascii="Verdana" w:hAnsi="Verdana"/>
              </w:rPr>
            </w:pPr>
            <w:r w:rsidRPr="00843A21">
              <w:rPr>
                <w:rFonts w:ascii="Verdana" w:hAnsi="Verdana"/>
              </w:rPr>
              <w:t>Physician Services</w:t>
            </w:r>
          </w:p>
        </w:tc>
      </w:tr>
      <w:tr w:rsidR="009710F7" w:rsidRPr="00843A21" w14:paraId="2EABCED7" w14:textId="77777777" w:rsidTr="001905D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09C08431" w14:textId="77777777" w:rsidR="009710F7" w:rsidRPr="00843A21" w:rsidRDefault="009710F7" w:rsidP="001905DC">
            <w:pPr>
              <w:spacing w:line="276" w:lineRule="auto"/>
              <w:ind w:left="144"/>
              <w:rPr>
                <w:rFonts w:ascii="Verdana" w:hAnsi="Verdana"/>
              </w:rPr>
            </w:pPr>
            <w:r>
              <w:rPr>
                <w:rFonts w:ascii="Verdana" w:hAnsi="Verdana"/>
              </w:rPr>
              <w:t>Down Home Ranch</w:t>
            </w:r>
          </w:p>
        </w:tc>
        <w:tc>
          <w:tcPr>
            <w:tcW w:w="4675" w:type="dxa"/>
          </w:tcPr>
          <w:p w14:paraId="399BF251" w14:textId="77777777" w:rsidR="009710F7" w:rsidRPr="00843A21" w:rsidRDefault="009710F7" w:rsidP="001905DC">
            <w:pPr>
              <w:spacing w:line="276" w:lineRule="auto"/>
              <w:ind w:left="144"/>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Day Program</w:t>
            </w:r>
          </w:p>
        </w:tc>
      </w:tr>
      <w:tr w:rsidR="009710F7" w:rsidRPr="00843A21" w14:paraId="2613BDD4" w14:textId="77777777" w:rsidTr="001905D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102AD78A" w14:textId="77777777" w:rsidR="009710F7" w:rsidRPr="00843A21" w:rsidRDefault="009710F7" w:rsidP="001905DC">
            <w:pPr>
              <w:spacing w:line="276" w:lineRule="auto"/>
              <w:ind w:left="144"/>
              <w:rPr>
                <w:rFonts w:ascii="Verdana" w:hAnsi="Verdana"/>
              </w:rPr>
            </w:pPr>
            <w:r w:rsidRPr="00843A21">
              <w:rPr>
                <w:rFonts w:ascii="Verdana" w:hAnsi="Verdana"/>
              </w:rPr>
              <w:t>East Texas Behavioral Healthcare Network (ETBHN)</w:t>
            </w:r>
          </w:p>
        </w:tc>
        <w:tc>
          <w:tcPr>
            <w:tcW w:w="4675" w:type="dxa"/>
          </w:tcPr>
          <w:p w14:paraId="569B7CE8" w14:textId="77777777" w:rsidR="009710F7" w:rsidRPr="00843A21" w:rsidRDefault="009710F7" w:rsidP="001905DC">
            <w:pPr>
              <w:spacing w:line="276" w:lineRule="auto"/>
              <w:ind w:left="144"/>
              <w:cnfStyle w:val="000000100000" w:firstRow="0" w:lastRow="0" w:firstColumn="0" w:lastColumn="0" w:oddVBand="0" w:evenVBand="0" w:oddHBand="1" w:evenHBand="0" w:firstRowFirstColumn="0" w:firstRowLastColumn="0" w:lastRowFirstColumn="0" w:lastRowLastColumn="0"/>
              <w:rPr>
                <w:rFonts w:ascii="Verdana" w:hAnsi="Verdana"/>
              </w:rPr>
            </w:pPr>
            <w:r w:rsidRPr="00843A21">
              <w:rPr>
                <w:rFonts w:ascii="Verdana" w:hAnsi="Verdana"/>
              </w:rPr>
              <w:t>Telepsychiatry and Utilization Management Services</w:t>
            </w:r>
          </w:p>
        </w:tc>
      </w:tr>
      <w:tr w:rsidR="009710F7" w:rsidRPr="00843A21" w14:paraId="006B2B8A" w14:textId="77777777" w:rsidTr="001905D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5E6636EB" w14:textId="77777777" w:rsidR="009710F7" w:rsidRPr="00843A21" w:rsidRDefault="009710F7" w:rsidP="001905DC">
            <w:pPr>
              <w:spacing w:line="276" w:lineRule="auto"/>
              <w:ind w:left="144"/>
              <w:rPr>
                <w:rFonts w:ascii="Verdana" w:hAnsi="Verdana"/>
              </w:rPr>
            </w:pPr>
            <w:r w:rsidRPr="00843A21">
              <w:rPr>
                <w:rFonts w:ascii="Verdana" w:hAnsi="Verdana"/>
              </w:rPr>
              <w:t>Georgetown Behavioral Health (GBHI)</w:t>
            </w:r>
          </w:p>
        </w:tc>
        <w:tc>
          <w:tcPr>
            <w:tcW w:w="4675" w:type="dxa"/>
          </w:tcPr>
          <w:p w14:paraId="1255CB76" w14:textId="77777777" w:rsidR="009710F7" w:rsidRPr="00843A21" w:rsidRDefault="009710F7" w:rsidP="001905DC">
            <w:pPr>
              <w:spacing w:line="276" w:lineRule="auto"/>
              <w:ind w:left="144"/>
              <w:cnfStyle w:val="000000010000" w:firstRow="0" w:lastRow="0" w:firstColumn="0" w:lastColumn="0" w:oddVBand="0" w:evenVBand="0" w:oddHBand="0" w:evenHBand="1" w:firstRowFirstColumn="0" w:firstRowLastColumn="0" w:lastRowFirstColumn="0" w:lastRowLastColumn="0"/>
              <w:rPr>
                <w:rFonts w:ascii="Verdana" w:hAnsi="Verdana"/>
              </w:rPr>
            </w:pPr>
            <w:r w:rsidRPr="00843A21">
              <w:rPr>
                <w:rFonts w:ascii="Verdana" w:hAnsi="Verdana"/>
              </w:rPr>
              <w:t>Private Psychiatric Beds</w:t>
            </w:r>
          </w:p>
        </w:tc>
      </w:tr>
      <w:tr w:rsidR="009710F7" w:rsidRPr="00843A21" w14:paraId="66644965" w14:textId="77777777" w:rsidTr="001905D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2A71ED0E" w14:textId="77777777" w:rsidR="009710F7" w:rsidRPr="00843A21" w:rsidRDefault="009710F7" w:rsidP="001905DC">
            <w:pPr>
              <w:spacing w:line="276" w:lineRule="auto"/>
              <w:ind w:left="144"/>
              <w:rPr>
                <w:rFonts w:ascii="Verdana" w:hAnsi="Verdana"/>
              </w:rPr>
            </w:pPr>
            <w:r w:rsidRPr="00843A21">
              <w:rPr>
                <w:rFonts w:ascii="Verdana" w:hAnsi="Verdana"/>
              </w:rPr>
              <w:t>Gulf Bend Center</w:t>
            </w:r>
          </w:p>
        </w:tc>
        <w:tc>
          <w:tcPr>
            <w:tcW w:w="4675" w:type="dxa"/>
          </w:tcPr>
          <w:p w14:paraId="6F9FF419" w14:textId="77777777" w:rsidR="009710F7" w:rsidRPr="00843A21" w:rsidRDefault="009710F7" w:rsidP="001905DC">
            <w:pPr>
              <w:spacing w:line="276" w:lineRule="auto"/>
              <w:ind w:left="144"/>
              <w:cnfStyle w:val="000000100000" w:firstRow="0" w:lastRow="0" w:firstColumn="0" w:lastColumn="0" w:oddVBand="0" w:evenVBand="0" w:oddHBand="1" w:evenHBand="0" w:firstRowFirstColumn="0" w:firstRowLastColumn="0" w:lastRowFirstColumn="0" w:lastRowLastColumn="0"/>
              <w:rPr>
                <w:rFonts w:ascii="Verdana" w:hAnsi="Verdana"/>
              </w:rPr>
            </w:pPr>
            <w:r w:rsidRPr="7263DC8A">
              <w:rPr>
                <w:rFonts w:ascii="Verdana" w:hAnsi="Verdana"/>
              </w:rPr>
              <w:t>Crisis Center</w:t>
            </w:r>
          </w:p>
        </w:tc>
      </w:tr>
      <w:tr w:rsidR="009710F7" w:rsidRPr="00843A21" w14:paraId="08842AEB" w14:textId="77777777" w:rsidTr="001905D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306095EA" w14:textId="77777777" w:rsidR="009710F7" w:rsidRPr="00843A21" w:rsidRDefault="009710F7" w:rsidP="001905DC">
            <w:pPr>
              <w:spacing w:line="276" w:lineRule="auto"/>
              <w:ind w:left="144"/>
              <w:rPr>
                <w:rFonts w:ascii="Verdana" w:hAnsi="Verdana"/>
              </w:rPr>
            </w:pPr>
            <w:r w:rsidRPr="00843A21">
              <w:rPr>
                <w:rFonts w:ascii="Verdana" w:hAnsi="Verdana"/>
              </w:rPr>
              <w:t>Hill Country MHDD</w:t>
            </w:r>
          </w:p>
        </w:tc>
        <w:tc>
          <w:tcPr>
            <w:tcW w:w="4675" w:type="dxa"/>
          </w:tcPr>
          <w:p w14:paraId="0463ECE8" w14:textId="77777777" w:rsidR="009710F7" w:rsidRPr="00843A21" w:rsidRDefault="009710F7" w:rsidP="001905DC">
            <w:pPr>
              <w:spacing w:line="276" w:lineRule="auto"/>
              <w:ind w:left="144"/>
              <w:cnfStyle w:val="000000010000" w:firstRow="0" w:lastRow="0" w:firstColumn="0" w:lastColumn="0" w:oddVBand="0" w:evenVBand="0" w:oddHBand="0" w:evenHBand="1" w:firstRowFirstColumn="0" w:firstRowLastColumn="0" w:lastRowFirstColumn="0" w:lastRowLastColumn="0"/>
              <w:rPr>
                <w:rFonts w:ascii="Verdana" w:hAnsi="Verdana"/>
              </w:rPr>
            </w:pPr>
            <w:r w:rsidRPr="7263DC8A">
              <w:rPr>
                <w:rFonts w:ascii="Verdana" w:hAnsi="Verdana"/>
              </w:rPr>
              <w:t>Crisis Center</w:t>
            </w:r>
          </w:p>
        </w:tc>
      </w:tr>
      <w:tr w:rsidR="009710F7" w:rsidRPr="00843A21" w14:paraId="04EAD677" w14:textId="77777777" w:rsidTr="001905D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516F3A68" w14:textId="77777777" w:rsidR="009710F7" w:rsidRPr="00843A21" w:rsidRDefault="009710F7" w:rsidP="001905DC">
            <w:pPr>
              <w:spacing w:line="276" w:lineRule="auto"/>
              <w:ind w:left="144"/>
              <w:rPr>
                <w:rFonts w:ascii="Verdana" w:hAnsi="Verdana"/>
              </w:rPr>
            </w:pPr>
            <w:r w:rsidRPr="00843A21">
              <w:rPr>
                <w:rFonts w:ascii="Verdana" w:hAnsi="Verdana"/>
              </w:rPr>
              <w:t>HMIH Cedar Crest, LLC dba Cedar Crest Hospital &amp; RTC</w:t>
            </w:r>
          </w:p>
        </w:tc>
        <w:tc>
          <w:tcPr>
            <w:tcW w:w="4675" w:type="dxa"/>
          </w:tcPr>
          <w:p w14:paraId="33209B19" w14:textId="77777777" w:rsidR="009710F7" w:rsidRPr="00843A21" w:rsidRDefault="009710F7" w:rsidP="001905DC">
            <w:pPr>
              <w:spacing w:line="276" w:lineRule="auto"/>
              <w:ind w:left="144"/>
              <w:cnfStyle w:val="000000100000" w:firstRow="0" w:lastRow="0" w:firstColumn="0" w:lastColumn="0" w:oddVBand="0" w:evenVBand="0" w:oddHBand="1" w:evenHBand="0" w:firstRowFirstColumn="0" w:firstRowLastColumn="0" w:lastRowFirstColumn="0" w:lastRowLastColumn="0"/>
              <w:rPr>
                <w:rFonts w:ascii="Verdana" w:hAnsi="Verdana"/>
              </w:rPr>
            </w:pPr>
            <w:r w:rsidRPr="00843A21">
              <w:rPr>
                <w:rFonts w:ascii="Verdana" w:hAnsi="Verdana"/>
              </w:rPr>
              <w:t>Private Psychiatric Beds</w:t>
            </w:r>
          </w:p>
        </w:tc>
      </w:tr>
      <w:tr w:rsidR="009710F7" w:rsidRPr="00843A21" w14:paraId="2B0323F7" w14:textId="77777777" w:rsidTr="001905D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4032588A" w14:textId="77777777" w:rsidR="009710F7" w:rsidRPr="00843A21" w:rsidRDefault="009710F7" w:rsidP="001905DC">
            <w:pPr>
              <w:spacing w:line="276" w:lineRule="auto"/>
              <w:ind w:left="144"/>
              <w:rPr>
                <w:rFonts w:ascii="Verdana" w:hAnsi="Verdana"/>
              </w:rPr>
            </w:pPr>
            <w:proofErr w:type="gramStart"/>
            <w:r w:rsidRPr="00843A21">
              <w:rPr>
                <w:rFonts w:ascii="Verdana" w:hAnsi="Verdana"/>
              </w:rPr>
              <w:t>Honey Bee</w:t>
            </w:r>
            <w:proofErr w:type="gramEnd"/>
            <w:r w:rsidRPr="00843A21">
              <w:rPr>
                <w:rFonts w:ascii="Verdana" w:hAnsi="Verdana"/>
              </w:rPr>
              <w:t xml:space="preserve"> Therapies</w:t>
            </w:r>
            <w:r>
              <w:rPr>
                <w:rFonts w:ascii="Verdana" w:hAnsi="Verdana"/>
              </w:rPr>
              <w:t>,</w:t>
            </w:r>
            <w:r w:rsidRPr="00843A21">
              <w:rPr>
                <w:rFonts w:ascii="Verdana" w:hAnsi="Verdana"/>
              </w:rPr>
              <w:t xml:space="preserve"> LLC</w:t>
            </w:r>
          </w:p>
        </w:tc>
        <w:tc>
          <w:tcPr>
            <w:tcW w:w="4675" w:type="dxa"/>
          </w:tcPr>
          <w:p w14:paraId="667B80A5" w14:textId="77777777" w:rsidR="009710F7" w:rsidRPr="00843A21" w:rsidRDefault="009710F7" w:rsidP="001905DC">
            <w:pPr>
              <w:spacing w:line="276" w:lineRule="auto"/>
              <w:ind w:left="144"/>
              <w:cnfStyle w:val="000000010000" w:firstRow="0" w:lastRow="0" w:firstColumn="0" w:lastColumn="0" w:oddVBand="0" w:evenVBand="0" w:oddHBand="0" w:evenHBand="1" w:firstRowFirstColumn="0" w:firstRowLastColumn="0" w:lastRowFirstColumn="0" w:lastRowLastColumn="0"/>
              <w:rPr>
                <w:rFonts w:ascii="Verdana" w:hAnsi="Verdana"/>
              </w:rPr>
            </w:pPr>
            <w:r w:rsidRPr="00843A21">
              <w:rPr>
                <w:rFonts w:ascii="Verdana" w:hAnsi="Verdana"/>
              </w:rPr>
              <w:t>Network Provider for YES Waiver</w:t>
            </w:r>
          </w:p>
        </w:tc>
      </w:tr>
      <w:tr w:rsidR="009710F7" w:rsidRPr="00843A21" w14:paraId="0AEC8A4F" w14:textId="77777777" w:rsidTr="001905D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32879565" w14:textId="77777777" w:rsidR="009710F7" w:rsidRPr="00843A21" w:rsidRDefault="009710F7" w:rsidP="001905DC">
            <w:pPr>
              <w:spacing w:line="276" w:lineRule="auto"/>
              <w:ind w:left="144"/>
              <w:rPr>
                <w:rFonts w:ascii="Verdana" w:hAnsi="Verdana"/>
              </w:rPr>
            </w:pPr>
            <w:r w:rsidRPr="00843A21">
              <w:rPr>
                <w:rFonts w:ascii="Verdana" w:hAnsi="Verdana"/>
              </w:rPr>
              <w:t>Inclusion Therapies</w:t>
            </w:r>
            <w:r>
              <w:rPr>
                <w:rFonts w:ascii="Verdana" w:hAnsi="Verdana"/>
              </w:rPr>
              <w:t>,</w:t>
            </w:r>
            <w:r w:rsidRPr="00843A21">
              <w:rPr>
                <w:rFonts w:ascii="Verdana" w:hAnsi="Verdana"/>
              </w:rPr>
              <w:t xml:space="preserve"> LLC</w:t>
            </w:r>
          </w:p>
        </w:tc>
        <w:tc>
          <w:tcPr>
            <w:tcW w:w="4675" w:type="dxa"/>
          </w:tcPr>
          <w:p w14:paraId="167B154B" w14:textId="77777777" w:rsidR="009710F7" w:rsidRPr="00843A21" w:rsidRDefault="009710F7" w:rsidP="001905DC">
            <w:pPr>
              <w:spacing w:line="276" w:lineRule="auto"/>
              <w:ind w:left="144"/>
              <w:cnfStyle w:val="000000100000" w:firstRow="0" w:lastRow="0" w:firstColumn="0" w:lastColumn="0" w:oddVBand="0" w:evenVBand="0" w:oddHBand="1" w:evenHBand="0" w:firstRowFirstColumn="0" w:firstRowLastColumn="0" w:lastRowFirstColumn="0" w:lastRowLastColumn="0"/>
              <w:rPr>
                <w:rFonts w:ascii="Verdana" w:hAnsi="Verdana"/>
              </w:rPr>
            </w:pPr>
            <w:r w:rsidRPr="00843A21">
              <w:rPr>
                <w:rFonts w:ascii="Verdana" w:hAnsi="Verdana"/>
              </w:rPr>
              <w:t>Network Provider for YES Waiver</w:t>
            </w:r>
          </w:p>
        </w:tc>
      </w:tr>
      <w:tr w:rsidR="009710F7" w14:paraId="5F9C9823" w14:textId="77777777" w:rsidTr="001905D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2F82A4AF" w14:textId="77777777" w:rsidR="009710F7" w:rsidRDefault="009710F7" w:rsidP="001905DC">
            <w:pPr>
              <w:spacing w:line="276" w:lineRule="auto"/>
              <w:ind w:left="144"/>
              <w:rPr>
                <w:rFonts w:ascii="Verdana" w:hAnsi="Verdana"/>
              </w:rPr>
            </w:pPr>
            <w:r>
              <w:rPr>
                <w:rFonts w:ascii="Verdana" w:hAnsi="Verdana"/>
              </w:rPr>
              <w:t>James Leach, Inc.</w:t>
            </w:r>
          </w:p>
        </w:tc>
        <w:tc>
          <w:tcPr>
            <w:tcW w:w="4675" w:type="dxa"/>
          </w:tcPr>
          <w:p w14:paraId="41F498F4" w14:textId="77777777" w:rsidR="009710F7" w:rsidRDefault="009710F7" w:rsidP="001905DC">
            <w:pPr>
              <w:spacing w:line="276" w:lineRule="auto"/>
              <w:ind w:left="144"/>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Day Program</w:t>
            </w:r>
          </w:p>
        </w:tc>
      </w:tr>
      <w:tr w:rsidR="009710F7" w:rsidRPr="00843A21" w14:paraId="7B6A4404" w14:textId="77777777" w:rsidTr="001905D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15856C35" w14:textId="77777777" w:rsidR="009710F7" w:rsidRPr="00843A21" w:rsidRDefault="009710F7" w:rsidP="001905DC">
            <w:pPr>
              <w:spacing w:line="276" w:lineRule="auto"/>
              <w:ind w:left="144"/>
              <w:rPr>
                <w:rFonts w:ascii="Verdana" w:hAnsi="Verdana"/>
              </w:rPr>
            </w:pPr>
            <w:r>
              <w:rPr>
                <w:rFonts w:ascii="Verdana" w:hAnsi="Verdana"/>
              </w:rPr>
              <w:t>Joch Psychological Consulting, Inc.</w:t>
            </w:r>
          </w:p>
        </w:tc>
        <w:tc>
          <w:tcPr>
            <w:tcW w:w="4675" w:type="dxa"/>
          </w:tcPr>
          <w:p w14:paraId="3A94D98A" w14:textId="77777777" w:rsidR="009710F7" w:rsidRPr="00843A21" w:rsidRDefault="009710F7" w:rsidP="001905DC">
            <w:pPr>
              <w:spacing w:line="276" w:lineRule="auto"/>
              <w:ind w:left="144"/>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Psychological Services</w:t>
            </w:r>
          </w:p>
        </w:tc>
      </w:tr>
      <w:tr w:rsidR="009710F7" w:rsidRPr="00843A21" w14:paraId="5ADD20D0" w14:textId="77777777" w:rsidTr="001905D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36C05932" w14:textId="77777777" w:rsidR="009710F7" w:rsidRPr="00843A21" w:rsidRDefault="009710F7" w:rsidP="001905DC">
            <w:pPr>
              <w:spacing w:line="276" w:lineRule="auto"/>
              <w:ind w:left="144"/>
              <w:rPr>
                <w:rFonts w:ascii="Verdana" w:hAnsi="Verdana"/>
              </w:rPr>
            </w:pPr>
            <w:r w:rsidRPr="00843A21">
              <w:rPr>
                <w:rFonts w:ascii="Verdana" w:hAnsi="Verdana"/>
              </w:rPr>
              <w:t>LabCorp</w:t>
            </w:r>
          </w:p>
        </w:tc>
        <w:tc>
          <w:tcPr>
            <w:tcW w:w="4675" w:type="dxa"/>
          </w:tcPr>
          <w:p w14:paraId="0C2AA3DE" w14:textId="77777777" w:rsidR="009710F7" w:rsidRPr="00843A21" w:rsidRDefault="009710F7" w:rsidP="001905DC">
            <w:pPr>
              <w:spacing w:line="276" w:lineRule="auto"/>
              <w:ind w:left="144"/>
              <w:cnfStyle w:val="000000010000" w:firstRow="0" w:lastRow="0" w:firstColumn="0" w:lastColumn="0" w:oddVBand="0" w:evenVBand="0" w:oddHBand="0" w:evenHBand="1" w:firstRowFirstColumn="0" w:firstRowLastColumn="0" w:lastRowFirstColumn="0" w:lastRowLastColumn="0"/>
              <w:rPr>
                <w:rFonts w:ascii="Verdana" w:hAnsi="Verdana"/>
              </w:rPr>
            </w:pPr>
            <w:r w:rsidRPr="00843A21">
              <w:rPr>
                <w:rFonts w:ascii="Verdana" w:hAnsi="Verdana"/>
              </w:rPr>
              <w:t>Laboratory Services</w:t>
            </w:r>
          </w:p>
        </w:tc>
      </w:tr>
      <w:tr w:rsidR="009710F7" w:rsidRPr="00843A21" w14:paraId="4AC050A5" w14:textId="77777777" w:rsidTr="001905D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7040A8FF" w14:textId="77777777" w:rsidR="009710F7" w:rsidRPr="00843A21" w:rsidRDefault="009710F7" w:rsidP="001905DC">
            <w:pPr>
              <w:spacing w:line="276" w:lineRule="auto"/>
              <w:ind w:left="144"/>
              <w:rPr>
                <w:rFonts w:ascii="Verdana" w:hAnsi="Verdana"/>
              </w:rPr>
            </w:pPr>
            <w:r w:rsidRPr="00843A21">
              <w:rPr>
                <w:rFonts w:ascii="Verdana" w:hAnsi="Verdana"/>
              </w:rPr>
              <w:t>Laurel Ridge Treatment Center</w:t>
            </w:r>
          </w:p>
        </w:tc>
        <w:tc>
          <w:tcPr>
            <w:tcW w:w="4675" w:type="dxa"/>
          </w:tcPr>
          <w:p w14:paraId="7BA02BE1" w14:textId="77777777" w:rsidR="009710F7" w:rsidRPr="00843A21" w:rsidRDefault="009710F7" w:rsidP="001905DC">
            <w:pPr>
              <w:spacing w:line="276" w:lineRule="auto"/>
              <w:ind w:left="144"/>
              <w:cnfStyle w:val="000000100000" w:firstRow="0" w:lastRow="0" w:firstColumn="0" w:lastColumn="0" w:oddVBand="0" w:evenVBand="0" w:oddHBand="1" w:evenHBand="0" w:firstRowFirstColumn="0" w:firstRowLastColumn="0" w:lastRowFirstColumn="0" w:lastRowLastColumn="0"/>
              <w:rPr>
                <w:rFonts w:ascii="Verdana" w:hAnsi="Verdana"/>
              </w:rPr>
            </w:pPr>
            <w:r w:rsidRPr="00843A21">
              <w:rPr>
                <w:rFonts w:ascii="Verdana" w:hAnsi="Verdana"/>
              </w:rPr>
              <w:t>Private Psychiatric Beds</w:t>
            </w:r>
          </w:p>
        </w:tc>
      </w:tr>
      <w:tr w:rsidR="009710F7" w:rsidRPr="00843A21" w14:paraId="5DBA4F2A" w14:textId="77777777" w:rsidTr="001905D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4EE2B829" w14:textId="77777777" w:rsidR="009710F7" w:rsidRPr="00843A21" w:rsidRDefault="009710F7" w:rsidP="001905DC">
            <w:pPr>
              <w:spacing w:line="276" w:lineRule="auto"/>
              <w:ind w:left="144"/>
              <w:rPr>
                <w:rFonts w:ascii="Verdana" w:hAnsi="Verdana"/>
              </w:rPr>
            </w:pPr>
            <w:proofErr w:type="spellStart"/>
            <w:r w:rsidRPr="00843A21">
              <w:rPr>
                <w:rFonts w:ascii="Verdana" w:hAnsi="Verdana"/>
              </w:rPr>
              <w:t>Lifechanger</w:t>
            </w:r>
            <w:proofErr w:type="spellEnd"/>
            <w:r w:rsidRPr="00843A21">
              <w:rPr>
                <w:rFonts w:ascii="Verdana" w:hAnsi="Verdana"/>
              </w:rPr>
              <w:t xml:space="preserve"> Therapies Services</w:t>
            </w:r>
          </w:p>
        </w:tc>
        <w:tc>
          <w:tcPr>
            <w:tcW w:w="4675" w:type="dxa"/>
          </w:tcPr>
          <w:p w14:paraId="6ABFDE26" w14:textId="77777777" w:rsidR="009710F7" w:rsidRPr="00843A21" w:rsidRDefault="009710F7" w:rsidP="001905DC">
            <w:pPr>
              <w:spacing w:line="276" w:lineRule="auto"/>
              <w:ind w:left="144"/>
              <w:cnfStyle w:val="000000010000" w:firstRow="0" w:lastRow="0" w:firstColumn="0" w:lastColumn="0" w:oddVBand="0" w:evenVBand="0" w:oddHBand="0" w:evenHBand="1" w:firstRowFirstColumn="0" w:firstRowLastColumn="0" w:lastRowFirstColumn="0" w:lastRowLastColumn="0"/>
              <w:rPr>
                <w:rFonts w:ascii="Verdana" w:hAnsi="Verdana"/>
              </w:rPr>
            </w:pPr>
            <w:r w:rsidRPr="00843A21">
              <w:rPr>
                <w:rFonts w:ascii="Verdana" w:hAnsi="Verdana"/>
              </w:rPr>
              <w:t>Network Provider for YES Waiver</w:t>
            </w:r>
          </w:p>
        </w:tc>
      </w:tr>
      <w:tr w:rsidR="009710F7" w:rsidRPr="00843A21" w14:paraId="5C0B8BB6" w14:textId="77777777" w:rsidTr="001905D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4F7BE5A9" w14:textId="77777777" w:rsidR="009710F7" w:rsidRPr="00843A21" w:rsidRDefault="009710F7" w:rsidP="001905DC">
            <w:pPr>
              <w:spacing w:line="276" w:lineRule="auto"/>
              <w:ind w:left="144"/>
              <w:rPr>
                <w:rFonts w:ascii="Verdana" w:hAnsi="Verdana"/>
              </w:rPr>
            </w:pPr>
            <w:r w:rsidRPr="00843A21">
              <w:rPr>
                <w:rFonts w:ascii="Verdana" w:hAnsi="Verdana"/>
              </w:rPr>
              <w:t>Lifetime Care Services, LLC</w:t>
            </w:r>
          </w:p>
        </w:tc>
        <w:tc>
          <w:tcPr>
            <w:tcW w:w="4675" w:type="dxa"/>
          </w:tcPr>
          <w:p w14:paraId="5F265158" w14:textId="77777777" w:rsidR="009710F7" w:rsidRPr="00843A21" w:rsidRDefault="009710F7" w:rsidP="001905DC">
            <w:pPr>
              <w:spacing w:line="276" w:lineRule="auto"/>
              <w:ind w:left="144"/>
              <w:cnfStyle w:val="000000100000" w:firstRow="0" w:lastRow="0" w:firstColumn="0" w:lastColumn="0" w:oddVBand="0" w:evenVBand="0" w:oddHBand="1" w:evenHBand="0" w:firstRowFirstColumn="0" w:firstRowLastColumn="0" w:lastRowFirstColumn="0" w:lastRowLastColumn="0"/>
              <w:rPr>
                <w:rFonts w:ascii="Verdana" w:hAnsi="Verdana"/>
              </w:rPr>
            </w:pPr>
            <w:r w:rsidRPr="00843A21">
              <w:rPr>
                <w:rFonts w:ascii="Verdana" w:hAnsi="Verdana"/>
              </w:rPr>
              <w:t>Care Coordination for Medicare Recipients</w:t>
            </w:r>
          </w:p>
        </w:tc>
      </w:tr>
      <w:tr w:rsidR="009710F7" w:rsidRPr="00843A21" w14:paraId="5000AE37" w14:textId="77777777" w:rsidTr="001905D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41FBB0CA" w14:textId="77777777" w:rsidR="009710F7" w:rsidRPr="00843A21" w:rsidRDefault="009710F7" w:rsidP="001905DC">
            <w:pPr>
              <w:spacing w:line="276" w:lineRule="auto"/>
              <w:ind w:left="144"/>
              <w:rPr>
                <w:rFonts w:ascii="Verdana" w:hAnsi="Verdana"/>
              </w:rPr>
            </w:pPr>
            <w:r>
              <w:rPr>
                <w:rFonts w:ascii="Verdana" w:hAnsi="Verdana"/>
              </w:rPr>
              <w:t>Lifetime Living, Inc</w:t>
            </w:r>
          </w:p>
        </w:tc>
        <w:tc>
          <w:tcPr>
            <w:tcW w:w="4675" w:type="dxa"/>
          </w:tcPr>
          <w:p w14:paraId="6FBA0FE5" w14:textId="77777777" w:rsidR="009710F7" w:rsidRPr="00843A21" w:rsidRDefault="009710F7" w:rsidP="001905DC">
            <w:pPr>
              <w:spacing w:line="276" w:lineRule="auto"/>
              <w:ind w:left="144"/>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Day Program</w:t>
            </w:r>
          </w:p>
        </w:tc>
      </w:tr>
      <w:tr w:rsidR="009710F7" w:rsidRPr="00843A21" w14:paraId="38E8A772" w14:textId="77777777" w:rsidTr="001905D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45284EB8" w14:textId="77777777" w:rsidR="009710F7" w:rsidRPr="00843A21" w:rsidRDefault="009710F7" w:rsidP="001905DC">
            <w:pPr>
              <w:spacing w:line="276" w:lineRule="auto"/>
              <w:ind w:left="144"/>
              <w:rPr>
                <w:rFonts w:ascii="Verdana" w:hAnsi="Verdana"/>
              </w:rPr>
            </w:pPr>
            <w:proofErr w:type="spellStart"/>
            <w:r w:rsidRPr="00843A21">
              <w:rPr>
                <w:rFonts w:ascii="Verdana" w:hAnsi="Verdana"/>
              </w:rPr>
              <w:t>Metrocare</w:t>
            </w:r>
            <w:proofErr w:type="spellEnd"/>
            <w:r w:rsidRPr="00843A21">
              <w:rPr>
                <w:rFonts w:ascii="Verdana" w:hAnsi="Verdana"/>
              </w:rPr>
              <w:t xml:space="preserve"> Services (Life Path)</w:t>
            </w:r>
          </w:p>
        </w:tc>
        <w:tc>
          <w:tcPr>
            <w:tcW w:w="4675" w:type="dxa"/>
          </w:tcPr>
          <w:p w14:paraId="3660C169" w14:textId="77777777" w:rsidR="009710F7" w:rsidRPr="00843A21" w:rsidRDefault="009710F7" w:rsidP="001905DC">
            <w:pPr>
              <w:spacing w:line="276" w:lineRule="auto"/>
              <w:ind w:left="144"/>
              <w:cnfStyle w:val="000000100000" w:firstRow="0" w:lastRow="0" w:firstColumn="0" w:lastColumn="0" w:oddVBand="0" w:evenVBand="0" w:oddHBand="1" w:evenHBand="0" w:firstRowFirstColumn="0" w:firstRowLastColumn="0" w:lastRowFirstColumn="0" w:lastRowLastColumn="0"/>
              <w:rPr>
                <w:rFonts w:ascii="Verdana" w:hAnsi="Verdana"/>
              </w:rPr>
            </w:pPr>
            <w:r w:rsidRPr="00843A21">
              <w:rPr>
                <w:rFonts w:ascii="Verdana" w:hAnsi="Verdana"/>
              </w:rPr>
              <w:t>On-site Pharmacy (Round Rock)</w:t>
            </w:r>
          </w:p>
        </w:tc>
      </w:tr>
      <w:tr w:rsidR="009710F7" w:rsidRPr="00843A21" w14:paraId="18595B4C" w14:textId="77777777" w:rsidTr="001905D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506C9322" w14:textId="77777777" w:rsidR="009710F7" w:rsidRPr="00843A21" w:rsidRDefault="009710F7" w:rsidP="001905DC">
            <w:pPr>
              <w:spacing w:line="276" w:lineRule="auto"/>
              <w:ind w:left="144"/>
              <w:rPr>
                <w:rFonts w:ascii="Verdana" w:hAnsi="Verdana"/>
              </w:rPr>
            </w:pPr>
            <w:r w:rsidRPr="00843A21">
              <w:rPr>
                <w:rFonts w:ascii="Verdana" w:hAnsi="Verdana"/>
              </w:rPr>
              <w:t xml:space="preserve">Music Therapy of Austin, LLC </w:t>
            </w:r>
          </w:p>
        </w:tc>
        <w:tc>
          <w:tcPr>
            <w:tcW w:w="4675" w:type="dxa"/>
          </w:tcPr>
          <w:p w14:paraId="70556D92" w14:textId="77777777" w:rsidR="009710F7" w:rsidRPr="00843A21" w:rsidRDefault="009710F7" w:rsidP="001905DC">
            <w:pPr>
              <w:spacing w:line="276" w:lineRule="auto"/>
              <w:ind w:left="144"/>
              <w:cnfStyle w:val="000000010000" w:firstRow="0" w:lastRow="0" w:firstColumn="0" w:lastColumn="0" w:oddVBand="0" w:evenVBand="0" w:oddHBand="0" w:evenHBand="1" w:firstRowFirstColumn="0" w:firstRowLastColumn="0" w:lastRowFirstColumn="0" w:lastRowLastColumn="0"/>
              <w:rPr>
                <w:rFonts w:ascii="Verdana" w:hAnsi="Verdana"/>
              </w:rPr>
            </w:pPr>
            <w:r w:rsidRPr="00843A21">
              <w:rPr>
                <w:rFonts w:ascii="Verdana" w:hAnsi="Verdana"/>
              </w:rPr>
              <w:t>Network Provider for YES Waiver</w:t>
            </w:r>
          </w:p>
        </w:tc>
      </w:tr>
      <w:tr w:rsidR="009710F7" w:rsidRPr="00843A21" w14:paraId="6AF67ED9" w14:textId="77777777" w:rsidTr="001905D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371043C2" w14:textId="77777777" w:rsidR="009710F7" w:rsidRPr="00843A21" w:rsidRDefault="009710F7" w:rsidP="001905DC">
            <w:pPr>
              <w:spacing w:line="276" w:lineRule="auto"/>
              <w:ind w:left="144"/>
              <w:rPr>
                <w:rFonts w:ascii="Verdana" w:hAnsi="Verdana"/>
              </w:rPr>
            </w:pPr>
            <w:proofErr w:type="spellStart"/>
            <w:r w:rsidRPr="00843A21">
              <w:rPr>
                <w:rFonts w:ascii="Verdana" w:hAnsi="Verdana"/>
              </w:rPr>
              <w:t>Myndfit</w:t>
            </w:r>
            <w:proofErr w:type="spellEnd"/>
            <w:r w:rsidRPr="00843A21">
              <w:rPr>
                <w:rFonts w:ascii="Verdana" w:hAnsi="Verdana"/>
              </w:rPr>
              <w:t xml:space="preserve"> Mental Health, LLC</w:t>
            </w:r>
          </w:p>
        </w:tc>
        <w:tc>
          <w:tcPr>
            <w:tcW w:w="4675" w:type="dxa"/>
          </w:tcPr>
          <w:p w14:paraId="06043874" w14:textId="77777777" w:rsidR="009710F7" w:rsidRPr="00843A21" w:rsidRDefault="009710F7" w:rsidP="001905DC">
            <w:pPr>
              <w:spacing w:line="276" w:lineRule="auto"/>
              <w:ind w:left="144"/>
              <w:cnfStyle w:val="000000100000" w:firstRow="0" w:lastRow="0" w:firstColumn="0" w:lastColumn="0" w:oddVBand="0" w:evenVBand="0" w:oddHBand="1" w:evenHBand="0" w:firstRowFirstColumn="0" w:firstRowLastColumn="0" w:lastRowFirstColumn="0" w:lastRowLastColumn="0"/>
              <w:rPr>
                <w:rFonts w:ascii="Verdana" w:hAnsi="Verdana"/>
              </w:rPr>
            </w:pPr>
            <w:r w:rsidRPr="00843A21">
              <w:rPr>
                <w:rFonts w:ascii="Verdana" w:hAnsi="Verdana"/>
              </w:rPr>
              <w:t>Network Provider for YES Waiver</w:t>
            </w:r>
          </w:p>
        </w:tc>
      </w:tr>
      <w:tr w:rsidR="009710F7" w:rsidRPr="00843A21" w14:paraId="2A6ADE53" w14:textId="77777777" w:rsidTr="001905D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0D6D3A54" w14:textId="77777777" w:rsidR="009710F7" w:rsidRPr="00843A21" w:rsidRDefault="009710F7" w:rsidP="001905DC">
            <w:pPr>
              <w:spacing w:line="276" w:lineRule="auto"/>
              <w:ind w:left="144"/>
              <w:rPr>
                <w:rFonts w:ascii="Verdana" w:hAnsi="Verdana"/>
              </w:rPr>
            </w:pPr>
            <w:r w:rsidRPr="00843A21">
              <w:rPr>
                <w:rFonts w:ascii="Verdana" w:hAnsi="Verdana"/>
              </w:rPr>
              <w:t>Necole Rivers, LLC dba Outreach Therapy (YW)</w:t>
            </w:r>
          </w:p>
        </w:tc>
        <w:tc>
          <w:tcPr>
            <w:tcW w:w="4675" w:type="dxa"/>
          </w:tcPr>
          <w:p w14:paraId="326366C8" w14:textId="77777777" w:rsidR="009710F7" w:rsidRPr="00843A21" w:rsidRDefault="009710F7" w:rsidP="001905DC">
            <w:pPr>
              <w:spacing w:line="276" w:lineRule="auto"/>
              <w:ind w:left="144"/>
              <w:cnfStyle w:val="000000010000" w:firstRow="0" w:lastRow="0" w:firstColumn="0" w:lastColumn="0" w:oddVBand="0" w:evenVBand="0" w:oddHBand="0" w:evenHBand="1" w:firstRowFirstColumn="0" w:firstRowLastColumn="0" w:lastRowFirstColumn="0" w:lastRowLastColumn="0"/>
              <w:rPr>
                <w:rFonts w:ascii="Verdana" w:hAnsi="Verdana"/>
              </w:rPr>
            </w:pPr>
            <w:r w:rsidRPr="00843A21">
              <w:rPr>
                <w:rFonts w:ascii="Verdana" w:hAnsi="Verdana"/>
              </w:rPr>
              <w:t>Network Provider for YES Waiver</w:t>
            </w:r>
            <w:r>
              <w:rPr>
                <w:rFonts w:ascii="Verdana" w:hAnsi="Verdana"/>
              </w:rPr>
              <w:t xml:space="preserve"> and IDD Psychological Services</w:t>
            </w:r>
          </w:p>
        </w:tc>
      </w:tr>
      <w:tr w:rsidR="009710F7" w:rsidRPr="00843A21" w14:paraId="46AEC033" w14:textId="77777777" w:rsidTr="001905D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60DFDD8F" w14:textId="77777777" w:rsidR="009710F7" w:rsidRPr="00843A21" w:rsidRDefault="009710F7" w:rsidP="001905DC">
            <w:pPr>
              <w:spacing w:line="276" w:lineRule="auto"/>
              <w:ind w:left="144"/>
              <w:rPr>
                <w:rFonts w:ascii="Verdana" w:hAnsi="Verdana"/>
              </w:rPr>
            </w:pPr>
            <w:r>
              <w:rPr>
                <w:rFonts w:ascii="Verdana" w:hAnsi="Verdana"/>
              </w:rPr>
              <w:t>New Roads Psychological and Wellness Services, PLLC</w:t>
            </w:r>
          </w:p>
        </w:tc>
        <w:tc>
          <w:tcPr>
            <w:tcW w:w="4675" w:type="dxa"/>
          </w:tcPr>
          <w:p w14:paraId="074394C3" w14:textId="77777777" w:rsidR="009710F7" w:rsidRPr="00843A21" w:rsidRDefault="009710F7" w:rsidP="001905DC">
            <w:pPr>
              <w:spacing w:line="276" w:lineRule="auto"/>
              <w:ind w:left="144"/>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Psychological Services</w:t>
            </w:r>
          </w:p>
        </w:tc>
      </w:tr>
      <w:tr w:rsidR="009710F7" w:rsidRPr="00843A21" w14:paraId="0B4B602C" w14:textId="77777777" w:rsidTr="001905D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391049AE" w14:textId="77777777" w:rsidR="009710F7" w:rsidRPr="00843A21" w:rsidRDefault="009710F7" w:rsidP="001905DC">
            <w:pPr>
              <w:spacing w:line="276" w:lineRule="auto"/>
              <w:ind w:left="144"/>
              <w:rPr>
                <w:rFonts w:ascii="Verdana" w:hAnsi="Verdana"/>
              </w:rPr>
            </w:pPr>
            <w:r w:rsidRPr="00843A21">
              <w:rPr>
                <w:rFonts w:ascii="Verdana" w:hAnsi="Verdana"/>
              </w:rPr>
              <w:lastRenderedPageBreak/>
              <w:t>North America Services</w:t>
            </w:r>
          </w:p>
        </w:tc>
        <w:tc>
          <w:tcPr>
            <w:tcW w:w="4675" w:type="dxa"/>
          </w:tcPr>
          <w:p w14:paraId="40E77A4B" w14:textId="77777777" w:rsidR="009710F7" w:rsidRPr="00843A21" w:rsidRDefault="009710F7" w:rsidP="001905DC">
            <w:pPr>
              <w:spacing w:line="276" w:lineRule="auto"/>
              <w:ind w:left="144"/>
              <w:cnfStyle w:val="000000010000" w:firstRow="0" w:lastRow="0" w:firstColumn="0" w:lastColumn="0" w:oddVBand="0" w:evenVBand="0" w:oddHBand="0" w:evenHBand="1" w:firstRowFirstColumn="0" w:firstRowLastColumn="0" w:lastRowFirstColumn="0" w:lastRowLastColumn="0"/>
              <w:rPr>
                <w:rFonts w:ascii="Verdana" w:hAnsi="Verdana"/>
              </w:rPr>
            </w:pPr>
            <w:r w:rsidRPr="00843A21">
              <w:rPr>
                <w:rFonts w:ascii="Verdana" w:hAnsi="Verdana"/>
              </w:rPr>
              <w:t>Paraprofessional and Respite Services for Crisis Respite Units</w:t>
            </w:r>
          </w:p>
        </w:tc>
      </w:tr>
      <w:tr w:rsidR="009710F7" w14:paraId="156830E7" w14:textId="77777777" w:rsidTr="001905D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65B5320D" w14:textId="77777777" w:rsidR="009710F7" w:rsidRDefault="009710F7" w:rsidP="001905DC">
            <w:pPr>
              <w:spacing w:line="276" w:lineRule="auto"/>
              <w:ind w:left="144"/>
              <w:rPr>
                <w:rFonts w:ascii="Verdana" w:hAnsi="Verdana"/>
              </w:rPr>
            </w:pPr>
            <w:proofErr w:type="spellStart"/>
            <w:r>
              <w:rPr>
                <w:rFonts w:ascii="Verdana" w:hAnsi="Verdana"/>
              </w:rPr>
              <w:t>NuDay</w:t>
            </w:r>
            <w:proofErr w:type="spellEnd"/>
            <w:r>
              <w:rPr>
                <w:rFonts w:ascii="Verdana" w:hAnsi="Verdana"/>
              </w:rPr>
              <w:t xml:space="preserve"> Activity Center LLC</w:t>
            </w:r>
          </w:p>
        </w:tc>
        <w:tc>
          <w:tcPr>
            <w:tcW w:w="4675" w:type="dxa"/>
          </w:tcPr>
          <w:p w14:paraId="734E1428" w14:textId="77777777" w:rsidR="009710F7" w:rsidRDefault="009710F7" w:rsidP="001905DC">
            <w:pPr>
              <w:spacing w:line="276" w:lineRule="auto"/>
              <w:ind w:left="144"/>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Day Program</w:t>
            </w:r>
          </w:p>
        </w:tc>
      </w:tr>
      <w:tr w:rsidR="009710F7" w:rsidRPr="00843A21" w14:paraId="63A142E7" w14:textId="77777777" w:rsidTr="001905D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5928D6D2" w14:textId="77777777" w:rsidR="009710F7" w:rsidRPr="00843A21" w:rsidRDefault="009710F7" w:rsidP="001905DC">
            <w:pPr>
              <w:spacing w:line="276" w:lineRule="auto"/>
              <w:ind w:left="144"/>
              <w:rPr>
                <w:rFonts w:ascii="Verdana" w:hAnsi="Verdana"/>
              </w:rPr>
            </w:pPr>
            <w:r>
              <w:rPr>
                <w:rFonts w:ascii="Verdana" w:hAnsi="Verdana"/>
              </w:rPr>
              <w:t>Pioneer Day Hab</w:t>
            </w:r>
          </w:p>
        </w:tc>
        <w:tc>
          <w:tcPr>
            <w:tcW w:w="4675" w:type="dxa"/>
          </w:tcPr>
          <w:p w14:paraId="0EC62C61" w14:textId="77777777" w:rsidR="009710F7" w:rsidRPr="00843A21" w:rsidRDefault="009710F7" w:rsidP="001905DC">
            <w:pPr>
              <w:spacing w:line="276" w:lineRule="auto"/>
              <w:ind w:left="144"/>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Day Program</w:t>
            </w:r>
          </w:p>
        </w:tc>
      </w:tr>
      <w:tr w:rsidR="009710F7" w:rsidRPr="00843A21" w14:paraId="5001EAC0" w14:textId="77777777" w:rsidTr="001905D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3C908491" w14:textId="77777777" w:rsidR="009710F7" w:rsidRPr="00843A21" w:rsidRDefault="009710F7" w:rsidP="001905DC">
            <w:pPr>
              <w:spacing w:line="276" w:lineRule="auto"/>
              <w:ind w:left="144"/>
              <w:rPr>
                <w:rFonts w:ascii="Verdana" w:hAnsi="Verdana"/>
              </w:rPr>
            </w:pPr>
            <w:r w:rsidRPr="00843A21">
              <w:rPr>
                <w:rFonts w:ascii="Verdana" w:hAnsi="Verdana"/>
              </w:rPr>
              <w:t>Quest Diagnostics</w:t>
            </w:r>
          </w:p>
        </w:tc>
        <w:tc>
          <w:tcPr>
            <w:tcW w:w="4675" w:type="dxa"/>
          </w:tcPr>
          <w:p w14:paraId="0F3A70B1" w14:textId="77777777" w:rsidR="009710F7" w:rsidRPr="00843A21" w:rsidRDefault="009710F7" w:rsidP="001905DC">
            <w:pPr>
              <w:spacing w:line="276" w:lineRule="auto"/>
              <w:ind w:left="144"/>
              <w:cnfStyle w:val="000000100000" w:firstRow="0" w:lastRow="0" w:firstColumn="0" w:lastColumn="0" w:oddVBand="0" w:evenVBand="0" w:oddHBand="1" w:evenHBand="0" w:firstRowFirstColumn="0" w:firstRowLastColumn="0" w:lastRowFirstColumn="0" w:lastRowLastColumn="0"/>
              <w:rPr>
                <w:rFonts w:ascii="Verdana" w:hAnsi="Verdana"/>
              </w:rPr>
            </w:pPr>
            <w:r w:rsidRPr="00843A21">
              <w:rPr>
                <w:rFonts w:ascii="Verdana" w:hAnsi="Verdana"/>
              </w:rPr>
              <w:t>Laboratory Services</w:t>
            </w:r>
          </w:p>
        </w:tc>
      </w:tr>
      <w:tr w:rsidR="009710F7" w:rsidRPr="00843A21" w14:paraId="12BF5747" w14:textId="77777777" w:rsidTr="009710F7">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675" w:type="dxa"/>
          </w:tcPr>
          <w:p w14:paraId="7497A748" w14:textId="77777777" w:rsidR="009710F7" w:rsidRPr="00843A21" w:rsidRDefault="009710F7" w:rsidP="001905DC">
            <w:pPr>
              <w:spacing w:line="276" w:lineRule="auto"/>
              <w:ind w:left="144"/>
              <w:rPr>
                <w:rFonts w:ascii="Verdana" w:hAnsi="Verdana"/>
              </w:rPr>
            </w:pPr>
            <w:r>
              <w:rPr>
                <w:rFonts w:ascii="Verdana" w:hAnsi="Verdana"/>
              </w:rPr>
              <w:t>Respite Haus LLC</w:t>
            </w:r>
          </w:p>
        </w:tc>
        <w:tc>
          <w:tcPr>
            <w:tcW w:w="4675" w:type="dxa"/>
          </w:tcPr>
          <w:p w14:paraId="78F965B2" w14:textId="77777777" w:rsidR="009710F7" w:rsidRPr="00843A21" w:rsidRDefault="009710F7" w:rsidP="001905DC">
            <w:pPr>
              <w:spacing w:line="276" w:lineRule="auto"/>
              <w:ind w:left="144"/>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Day Program</w:t>
            </w:r>
          </w:p>
        </w:tc>
      </w:tr>
      <w:tr w:rsidR="009710F7" w:rsidRPr="00843A21" w14:paraId="474458FC" w14:textId="77777777" w:rsidTr="009710F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675" w:type="dxa"/>
          </w:tcPr>
          <w:p w14:paraId="5183EAC6" w14:textId="77777777" w:rsidR="009710F7" w:rsidRPr="00843A21" w:rsidRDefault="009710F7" w:rsidP="001905DC">
            <w:pPr>
              <w:spacing w:line="276" w:lineRule="auto"/>
              <w:ind w:left="144"/>
              <w:rPr>
                <w:rFonts w:ascii="Verdana" w:hAnsi="Verdana"/>
              </w:rPr>
            </w:pPr>
            <w:r w:rsidRPr="00843A21">
              <w:rPr>
                <w:rFonts w:ascii="Verdana" w:hAnsi="Verdana"/>
              </w:rPr>
              <w:t>Rock Springs LLC</w:t>
            </w:r>
          </w:p>
        </w:tc>
        <w:tc>
          <w:tcPr>
            <w:tcW w:w="4675" w:type="dxa"/>
          </w:tcPr>
          <w:p w14:paraId="4CD29FAC" w14:textId="77777777" w:rsidR="009710F7" w:rsidRPr="00843A21" w:rsidRDefault="009710F7" w:rsidP="001905DC">
            <w:pPr>
              <w:spacing w:line="276" w:lineRule="auto"/>
              <w:ind w:left="144"/>
              <w:cnfStyle w:val="000000100000" w:firstRow="0" w:lastRow="0" w:firstColumn="0" w:lastColumn="0" w:oddVBand="0" w:evenVBand="0" w:oddHBand="1" w:evenHBand="0" w:firstRowFirstColumn="0" w:firstRowLastColumn="0" w:lastRowFirstColumn="0" w:lastRowLastColumn="0"/>
              <w:rPr>
                <w:rFonts w:ascii="Verdana" w:hAnsi="Verdana"/>
              </w:rPr>
            </w:pPr>
            <w:r w:rsidRPr="00843A21">
              <w:rPr>
                <w:rFonts w:ascii="Verdana" w:hAnsi="Verdana"/>
              </w:rPr>
              <w:t>Private Psychiatric Beds</w:t>
            </w:r>
          </w:p>
        </w:tc>
      </w:tr>
      <w:tr w:rsidR="009710F7" w:rsidRPr="00843A21" w14:paraId="2261C83E" w14:textId="77777777" w:rsidTr="001905D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24168AAC" w14:textId="77777777" w:rsidR="009710F7" w:rsidRPr="00843A21" w:rsidRDefault="009710F7" w:rsidP="001905DC">
            <w:pPr>
              <w:spacing w:line="276" w:lineRule="auto"/>
              <w:ind w:left="144"/>
              <w:rPr>
                <w:rFonts w:ascii="Verdana" w:hAnsi="Verdana"/>
              </w:rPr>
            </w:pPr>
            <w:r>
              <w:rPr>
                <w:rFonts w:ascii="Verdana" w:hAnsi="Verdana"/>
              </w:rPr>
              <w:t>San Antonio Fitness Independent Recreational Environment (FIRE)</w:t>
            </w:r>
          </w:p>
        </w:tc>
        <w:tc>
          <w:tcPr>
            <w:tcW w:w="4675" w:type="dxa"/>
          </w:tcPr>
          <w:p w14:paraId="0FD2BB22" w14:textId="77777777" w:rsidR="009710F7" w:rsidRPr="00843A21" w:rsidRDefault="009710F7" w:rsidP="001905DC">
            <w:pPr>
              <w:spacing w:line="276" w:lineRule="auto"/>
              <w:ind w:left="144"/>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Day Program</w:t>
            </w:r>
          </w:p>
        </w:tc>
      </w:tr>
      <w:tr w:rsidR="009710F7" w:rsidRPr="00843A21" w14:paraId="1723960A" w14:textId="77777777" w:rsidTr="001905D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1C4BB18A" w14:textId="77777777" w:rsidR="009710F7" w:rsidRPr="00843A21" w:rsidRDefault="009710F7" w:rsidP="001905DC">
            <w:pPr>
              <w:spacing w:line="276" w:lineRule="auto"/>
              <w:ind w:left="144"/>
              <w:rPr>
                <w:rFonts w:ascii="Verdana" w:hAnsi="Verdana"/>
              </w:rPr>
            </w:pPr>
            <w:r w:rsidRPr="00843A21">
              <w:rPr>
                <w:rFonts w:ascii="Verdana" w:hAnsi="Verdana"/>
              </w:rPr>
              <w:t>Southwestern Music Therapy</w:t>
            </w:r>
          </w:p>
        </w:tc>
        <w:tc>
          <w:tcPr>
            <w:tcW w:w="4675" w:type="dxa"/>
          </w:tcPr>
          <w:p w14:paraId="1EE6CBC2" w14:textId="77777777" w:rsidR="009710F7" w:rsidRPr="00843A21" w:rsidRDefault="009710F7" w:rsidP="001905DC">
            <w:pPr>
              <w:spacing w:line="276" w:lineRule="auto"/>
              <w:ind w:left="144"/>
              <w:cnfStyle w:val="000000100000" w:firstRow="0" w:lastRow="0" w:firstColumn="0" w:lastColumn="0" w:oddVBand="0" w:evenVBand="0" w:oddHBand="1" w:evenHBand="0" w:firstRowFirstColumn="0" w:firstRowLastColumn="0" w:lastRowFirstColumn="0" w:lastRowLastColumn="0"/>
              <w:rPr>
                <w:rFonts w:ascii="Verdana" w:hAnsi="Verdana"/>
              </w:rPr>
            </w:pPr>
            <w:r w:rsidRPr="00843A21">
              <w:rPr>
                <w:rFonts w:ascii="Verdana" w:hAnsi="Verdana"/>
              </w:rPr>
              <w:t>Network Provider for YES Waiver</w:t>
            </w:r>
          </w:p>
        </w:tc>
      </w:tr>
      <w:tr w:rsidR="009710F7" w:rsidRPr="00843A21" w14:paraId="7ED0E298" w14:textId="77777777" w:rsidTr="001905D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4B3FB8D3" w14:textId="77777777" w:rsidR="009710F7" w:rsidRPr="00843A21" w:rsidRDefault="009710F7" w:rsidP="001905DC">
            <w:pPr>
              <w:spacing w:line="276" w:lineRule="auto"/>
              <w:ind w:left="144"/>
              <w:rPr>
                <w:rFonts w:ascii="Verdana" w:hAnsi="Verdana"/>
              </w:rPr>
            </w:pPr>
            <w:r w:rsidRPr="00843A21">
              <w:rPr>
                <w:rFonts w:ascii="Verdana" w:hAnsi="Verdana"/>
              </w:rPr>
              <w:t>Starlite Transportation, LLC</w:t>
            </w:r>
          </w:p>
        </w:tc>
        <w:tc>
          <w:tcPr>
            <w:tcW w:w="4675" w:type="dxa"/>
          </w:tcPr>
          <w:p w14:paraId="66A26385" w14:textId="77777777" w:rsidR="009710F7" w:rsidRPr="00843A21" w:rsidRDefault="009710F7" w:rsidP="001905DC">
            <w:pPr>
              <w:spacing w:line="276" w:lineRule="auto"/>
              <w:ind w:left="144"/>
              <w:cnfStyle w:val="000000010000" w:firstRow="0" w:lastRow="0" w:firstColumn="0" w:lastColumn="0" w:oddVBand="0" w:evenVBand="0" w:oddHBand="0" w:evenHBand="1" w:firstRowFirstColumn="0" w:firstRowLastColumn="0" w:lastRowFirstColumn="0" w:lastRowLastColumn="0"/>
              <w:rPr>
                <w:rFonts w:ascii="Verdana" w:hAnsi="Verdana"/>
              </w:rPr>
            </w:pPr>
            <w:r w:rsidRPr="00843A21">
              <w:rPr>
                <w:rFonts w:ascii="Verdana" w:hAnsi="Verdana"/>
              </w:rPr>
              <w:t>Transportation Services</w:t>
            </w:r>
          </w:p>
        </w:tc>
      </w:tr>
      <w:tr w:rsidR="009710F7" w:rsidRPr="00843A21" w14:paraId="6B934729" w14:textId="77777777" w:rsidTr="001905D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2E91D609" w14:textId="77777777" w:rsidR="009710F7" w:rsidRPr="00843A21" w:rsidRDefault="009710F7" w:rsidP="001905DC">
            <w:pPr>
              <w:spacing w:line="276" w:lineRule="auto"/>
              <w:ind w:left="144"/>
              <w:rPr>
                <w:rFonts w:ascii="Verdana" w:hAnsi="Verdana"/>
              </w:rPr>
            </w:pPr>
            <w:r w:rsidRPr="00843A21">
              <w:rPr>
                <w:rFonts w:ascii="Verdana" w:hAnsi="Verdana"/>
              </w:rPr>
              <w:t>Texas A&amp;M University Health Science Center</w:t>
            </w:r>
          </w:p>
        </w:tc>
        <w:tc>
          <w:tcPr>
            <w:tcW w:w="4675" w:type="dxa"/>
          </w:tcPr>
          <w:p w14:paraId="2BCCD1A4" w14:textId="77777777" w:rsidR="009710F7" w:rsidRPr="00843A21" w:rsidRDefault="009710F7" w:rsidP="001905DC">
            <w:pPr>
              <w:spacing w:line="276" w:lineRule="auto"/>
              <w:ind w:left="144"/>
              <w:cnfStyle w:val="000000100000" w:firstRow="0" w:lastRow="0" w:firstColumn="0" w:lastColumn="0" w:oddVBand="0" w:evenVBand="0" w:oddHBand="1" w:evenHBand="0" w:firstRowFirstColumn="0" w:firstRowLastColumn="0" w:lastRowFirstColumn="0" w:lastRowLastColumn="0"/>
              <w:rPr>
                <w:rFonts w:ascii="Verdana" w:hAnsi="Verdana"/>
              </w:rPr>
            </w:pPr>
            <w:r w:rsidRPr="00843A21">
              <w:rPr>
                <w:rFonts w:ascii="Verdana" w:hAnsi="Verdana"/>
              </w:rPr>
              <w:t>Physician Services</w:t>
            </w:r>
          </w:p>
        </w:tc>
      </w:tr>
      <w:tr w:rsidR="009710F7" w:rsidRPr="00843A21" w14:paraId="4948F373" w14:textId="77777777" w:rsidTr="001905D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0C1DCDC8" w14:textId="77777777" w:rsidR="009710F7" w:rsidRPr="00843A21" w:rsidRDefault="009710F7" w:rsidP="001905DC">
            <w:pPr>
              <w:spacing w:line="276" w:lineRule="auto"/>
              <w:ind w:left="144"/>
              <w:rPr>
                <w:rFonts w:ascii="Verdana" w:hAnsi="Verdana"/>
              </w:rPr>
            </w:pPr>
            <w:r>
              <w:rPr>
                <w:rFonts w:ascii="Verdana" w:hAnsi="Verdana"/>
              </w:rPr>
              <w:t>The ARC of the Capital Area</w:t>
            </w:r>
          </w:p>
        </w:tc>
        <w:tc>
          <w:tcPr>
            <w:tcW w:w="4675" w:type="dxa"/>
          </w:tcPr>
          <w:p w14:paraId="6E6C3C0F" w14:textId="77777777" w:rsidR="009710F7" w:rsidRPr="00843A21" w:rsidRDefault="009710F7" w:rsidP="001905DC">
            <w:pPr>
              <w:spacing w:line="276" w:lineRule="auto"/>
              <w:ind w:left="144"/>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Day Program</w:t>
            </w:r>
          </w:p>
        </w:tc>
      </w:tr>
      <w:tr w:rsidR="009710F7" w:rsidRPr="00843A21" w14:paraId="1B10BC5F" w14:textId="77777777" w:rsidTr="001905D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0EB0611E" w14:textId="77777777" w:rsidR="009710F7" w:rsidRPr="00843A21" w:rsidRDefault="009710F7" w:rsidP="001905DC">
            <w:pPr>
              <w:spacing w:line="276" w:lineRule="auto"/>
              <w:ind w:left="144"/>
              <w:rPr>
                <w:rFonts w:ascii="Verdana" w:hAnsi="Verdana"/>
              </w:rPr>
            </w:pPr>
            <w:r w:rsidRPr="00843A21">
              <w:rPr>
                <w:rFonts w:ascii="Verdana" w:hAnsi="Verdana"/>
              </w:rPr>
              <w:t>The Hope Project of Central Texas</w:t>
            </w:r>
          </w:p>
        </w:tc>
        <w:tc>
          <w:tcPr>
            <w:tcW w:w="4675" w:type="dxa"/>
          </w:tcPr>
          <w:p w14:paraId="1F8A6350" w14:textId="77777777" w:rsidR="009710F7" w:rsidRPr="00843A21" w:rsidRDefault="009710F7" w:rsidP="001905DC">
            <w:pPr>
              <w:spacing w:line="276" w:lineRule="auto"/>
              <w:ind w:left="144"/>
              <w:cnfStyle w:val="000000100000" w:firstRow="0" w:lastRow="0" w:firstColumn="0" w:lastColumn="0" w:oddVBand="0" w:evenVBand="0" w:oddHBand="1" w:evenHBand="0" w:firstRowFirstColumn="0" w:firstRowLastColumn="0" w:lastRowFirstColumn="0" w:lastRowLastColumn="0"/>
              <w:rPr>
                <w:rFonts w:ascii="Verdana" w:hAnsi="Verdana"/>
              </w:rPr>
            </w:pPr>
            <w:r w:rsidRPr="00843A21">
              <w:rPr>
                <w:rFonts w:ascii="Verdana" w:hAnsi="Verdana"/>
              </w:rPr>
              <w:t>Network Provider for YES Waiver</w:t>
            </w:r>
          </w:p>
        </w:tc>
      </w:tr>
      <w:tr w:rsidR="009710F7" w:rsidRPr="00843A21" w14:paraId="040169BE" w14:textId="77777777" w:rsidTr="001905D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6C1746DA" w14:textId="77777777" w:rsidR="009710F7" w:rsidRPr="00843A21" w:rsidRDefault="009710F7" w:rsidP="001905DC">
            <w:pPr>
              <w:spacing w:line="276" w:lineRule="auto"/>
              <w:ind w:left="144"/>
              <w:rPr>
                <w:rFonts w:ascii="Verdana" w:hAnsi="Verdana"/>
              </w:rPr>
            </w:pPr>
            <w:r w:rsidRPr="00843A21">
              <w:rPr>
                <w:rFonts w:ascii="Verdana" w:hAnsi="Verdana"/>
              </w:rPr>
              <w:t>The Wood Group</w:t>
            </w:r>
          </w:p>
        </w:tc>
        <w:tc>
          <w:tcPr>
            <w:tcW w:w="4675" w:type="dxa"/>
          </w:tcPr>
          <w:p w14:paraId="5405F7D4" w14:textId="77777777" w:rsidR="009710F7" w:rsidRPr="00843A21" w:rsidRDefault="009710F7" w:rsidP="001905DC">
            <w:pPr>
              <w:spacing w:line="276" w:lineRule="auto"/>
              <w:ind w:left="144"/>
              <w:cnfStyle w:val="000000010000" w:firstRow="0" w:lastRow="0" w:firstColumn="0" w:lastColumn="0" w:oddVBand="0" w:evenVBand="0" w:oddHBand="0" w:evenHBand="1" w:firstRowFirstColumn="0" w:firstRowLastColumn="0" w:lastRowFirstColumn="0" w:lastRowLastColumn="0"/>
              <w:rPr>
                <w:rFonts w:ascii="Verdana" w:hAnsi="Verdana"/>
              </w:rPr>
            </w:pPr>
            <w:r w:rsidRPr="00843A21">
              <w:rPr>
                <w:rFonts w:ascii="Verdana" w:hAnsi="Verdana"/>
              </w:rPr>
              <w:t>Paraprofessional and Respite Services for Crisis Respite Units</w:t>
            </w:r>
          </w:p>
        </w:tc>
      </w:tr>
      <w:tr w:rsidR="009710F7" w:rsidRPr="00843A21" w14:paraId="071A7FDE" w14:textId="77777777" w:rsidTr="001905D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45425CD0" w14:textId="77777777" w:rsidR="009710F7" w:rsidRPr="00843A21" w:rsidRDefault="009710F7" w:rsidP="001905DC">
            <w:pPr>
              <w:spacing w:line="276" w:lineRule="auto"/>
              <w:ind w:left="144"/>
              <w:rPr>
                <w:rFonts w:ascii="Verdana" w:hAnsi="Verdana"/>
              </w:rPr>
            </w:pPr>
            <w:r>
              <w:rPr>
                <w:rFonts w:ascii="Verdana" w:hAnsi="Verdana"/>
              </w:rPr>
              <w:t>The Social Care of Life</w:t>
            </w:r>
          </w:p>
        </w:tc>
        <w:tc>
          <w:tcPr>
            <w:tcW w:w="4675" w:type="dxa"/>
          </w:tcPr>
          <w:p w14:paraId="1DEF79A5" w14:textId="77777777" w:rsidR="009710F7" w:rsidRPr="00843A21" w:rsidRDefault="009710F7" w:rsidP="001905DC">
            <w:pPr>
              <w:spacing w:line="276" w:lineRule="auto"/>
              <w:ind w:left="144"/>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Day Program</w:t>
            </w:r>
          </w:p>
        </w:tc>
      </w:tr>
      <w:tr w:rsidR="009710F7" w:rsidRPr="00843A21" w14:paraId="48ECDF61" w14:textId="77777777" w:rsidTr="001905D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1EA821B8" w14:textId="77777777" w:rsidR="009710F7" w:rsidRPr="00843A21" w:rsidRDefault="009710F7" w:rsidP="001905DC">
            <w:pPr>
              <w:spacing w:line="276" w:lineRule="auto"/>
              <w:ind w:left="144"/>
              <w:rPr>
                <w:rFonts w:ascii="Verdana" w:hAnsi="Verdana"/>
              </w:rPr>
            </w:pPr>
            <w:r w:rsidRPr="00843A21">
              <w:rPr>
                <w:rFonts w:ascii="Verdana" w:hAnsi="Verdana"/>
              </w:rPr>
              <w:t>Thinking Above Average</w:t>
            </w:r>
          </w:p>
        </w:tc>
        <w:tc>
          <w:tcPr>
            <w:tcW w:w="4675" w:type="dxa"/>
          </w:tcPr>
          <w:p w14:paraId="332260EB" w14:textId="77777777" w:rsidR="009710F7" w:rsidRPr="00843A21" w:rsidRDefault="009710F7" w:rsidP="001905DC">
            <w:pPr>
              <w:spacing w:line="276" w:lineRule="auto"/>
              <w:ind w:left="144"/>
              <w:cnfStyle w:val="000000010000" w:firstRow="0" w:lastRow="0" w:firstColumn="0" w:lastColumn="0" w:oddVBand="0" w:evenVBand="0" w:oddHBand="0" w:evenHBand="1" w:firstRowFirstColumn="0" w:firstRowLastColumn="0" w:lastRowFirstColumn="0" w:lastRowLastColumn="0"/>
              <w:rPr>
                <w:rFonts w:ascii="Verdana" w:hAnsi="Verdana"/>
              </w:rPr>
            </w:pPr>
            <w:r w:rsidRPr="00843A21">
              <w:rPr>
                <w:rFonts w:ascii="Verdana" w:hAnsi="Verdana"/>
              </w:rPr>
              <w:t>Network Provider for YES Waiver</w:t>
            </w:r>
          </w:p>
        </w:tc>
      </w:tr>
      <w:tr w:rsidR="009710F7" w:rsidRPr="00843A21" w14:paraId="25CF9166" w14:textId="77777777" w:rsidTr="001905DC">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4675" w:type="dxa"/>
          </w:tcPr>
          <w:p w14:paraId="42425512" w14:textId="77777777" w:rsidR="009710F7" w:rsidRPr="00843A21" w:rsidRDefault="009710F7" w:rsidP="001905DC">
            <w:pPr>
              <w:spacing w:line="276" w:lineRule="auto"/>
              <w:ind w:left="144"/>
              <w:rPr>
                <w:rFonts w:ascii="Verdana" w:hAnsi="Verdana"/>
              </w:rPr>
            </w:pPr>
            <w:r w:rsidRPr="00843A21">
              <w:rPr>
                <w:rFonts w:ascii="Verdana" w:hAnsi="Verdana"/>
              </w:rPr>
              <w:t>United Way for Greater Austin</w:t>
            </w:r>
          </w:p>
        </w:tc>
        <w:tc>
          <w:tcPr>
            <w:tcW w:w="4675" w:type="dxa"/>
          </w:tcPr>
          <w:p w14:paraId="05C65C4C" w14:textId="77777777" w:rsidR="009710F7" w:rsidRPr="00843A21" w:rsidRDefault="009710F7" w:rsidP="001905DC">
            <w:pPr>
              <w:spacing w:line="276" w:lineRule="auto"/>
              <w:ind w:left="144"/>
              <w:cnfStyle w:val="000000100000" w:firstRow="0" w:lastRow="0" w:firstColumn="0" w:lastColumn="0" w:oddVBand="0" w:evenVBand="0" w:oddHBand="1" w:evenHBand="0" w:firstRowFirstColumn="0" w:firstRowLastColumn="0" w:lastRowFirstColumn="0" w:lastRowLastColumn="0"/>
              <w:rPr>
                <w:rFonts w:ascii="Verdana" w:hAnsi="Verdana"/>
              </w:rPr>
            </w:pPr>
            <w:r w:rsidRPr="00843A21">
              <w:rPr>
                <w:rFonts w:ascii="Verdana" w:hAnsi="Verdana"/>
              </w:rPr>
              <w:t>Appointment Line Call Center Services, Rescheduling and Hospital Discharge Follow-Up Appointment Scheduling</w:t>
            </w:r>
          </w:p>
        </w:tc>
      </w:tr>
      <w:tr w:rsidR="009710F7" w:rsidRPr="00843A21" w14:paraId="3AB5D1C2" w14:textId="77777777" w:rsidTr="001905D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2709BBF7" w14:textId="77777777" w:rsidR="009710F7" w:rsidRPr="00843A21" w:rsidRDefault="009710F7" w:rsidP="001905DC">
            <w:pPr>
              <w:spacing w:line="276" w:lineRule="auto"/>
              <w:ind w:left="144"/>
              <w:rPr>
                <w:rFonts w:ascii="Verdana" w:hAnsi="Verdana"/>
              </w:rPr>
            </w:pPr>
            <w:r w:rsidRPr="00843A21">
              <w:rPr>
                <w:rFonts w:ascii="Verdana" w:hAnsi="Verdana"/>
              </w:rPr>
              <w:t>Westways Staffing Services Inc.</w:t>
            </w:r>
          </w:p>
        </w:tc>
        <w:tc>
          <w:tcPr>
            <w:tcW w:w="4675" w:type="dxa"/>
          </w:tcPr>
          <w:p w14:paraId="3B7CB844" w14:textId="77777777" w:rsidR="009710F7" w:rsidRPr="00843A21" w:rsidRDefault="009710F7" w:rsidP="001905DC">
            <w:pPr>
              <w:spacing w:line="276" w:lineRule="auto"/>
              <w:ind w:left="144"/>
              <w:cnfStyle w:val="000000010000" w:firstRow="0" w:lastRow="0" w:firstColumn="0" w:lastColumn="0" w:oddVBand="0" w:evenVBand="0" w:oddHBand="0" w:evenHBand="1" w:firstRowFirstColumn="0" w:firstRowLastColumn="0" w:lastRowFirstColumn="0" w:lastRowLastColumn="0"/>
              <w:rPr>
                <w:rFonts w:ascii="Verdana" w:hAnsi="Verdana"/>
              </w:rPr>
            </w:pPr>
            <w:r w:rsidRPr="00843A21">
              <w:rPr>
                <w:rFonts w:ascii="Verdana" w:hAnsi="Verdana"/>
              </w:rPr>
              <w:t>Network Provider for YES Waiver</w:t>
            </w:r>
          </w:p>
        </w:tc>
      </w:tr>
      <w:tr w:rsidR="009710F7" w:rsidRPr="00843A21" w14:paraId="6E8212F8" w14:textId="77777777" w:rsidTr="001905D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6C3CDD22" w14:textId="77777777" w:rsidR="009710F7" w:rsidRPr="00843A21" w:rsidRDefault="009710F7" w:rsidP="001905DC">
            <w:pPr>
              <w:spacing w:line="276" w:lineRule="auto"/>
              <w:ind w:left="144"/>
              <w:rPr>
                <w:rFonts w:ascii="Verdana" w:hAnsi="Verdana"/>
              </w:rPr>
            </w:pPr>
            <w:r w:rsidRPr="00843A21">
              <w:rPr>
                <w:rFonts w:ascii="Verdana" w:hAnsi="Verdana"/>
              </w:rPr>
              <w:t>YMCA Wilco</w:t>
            </w:r>
          </w:p>
        </w:tc>
        <w:tc>
          <w:tcPr>
            <w:tcW w:w="4675" w:type="dxa"/>
          </w:tcPr>
          <w:p w14:paraId="75FC6380" w14:textId="77777777" w:rsidR="009710F7" w:rsidRPr="00843A21" w:rsidRDefault="009710F7" w:rsidP="001905DC">
            <w:pPr>
              <w:spacing w:line="276" w:lineRule="auto"/>
              <w:ind w:left="144"/>
              <w:cnfStyle w:val="000000100000" w:firstRow="0" w:lastRow="0" w:firstColumn="0" w:lastColumn="0" w:oddVBand="0" w:evenVBand="0" w:oddHBand="1" w:evenHBand="0" w:firstRowFirstColumn="0" w:firstRowLastColumn="0" w:lastRowFirstColumn="0" w:lastRowLastColumn="0"/>
              <w:rPr>
                <w:rFonts w:ascii="Verdana" w:hAnsi="Verdana"/>
              </w:rPr>
            </w:pPr>
            <w:r w:rsidRPr="00843A21">
              <w:rPr>
                <w:rFonts w:ascii="Verdana" w:hAnsi="Verdana"/>
              </w:rPr>
              <w:t>Network Provider for YES Waiver</w:t>
            </w:r>
          </w:p>
        </w:tc>
      </w:tr>
      <w:tr w:rsidR="009710F7" w:rsidRPr="00843A21" w14:paraId="654B8F2F" w14:textId="77777777" w:rsidTr="001905D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14:paraId="0F1E9C79" w14:textId="77777777" w:rsidR="009710F7" w:rsidRPr="00843A21" w:rsidRDefault="009710F7" w:rsidP="001905DC">
            <w:pPr>
              <w:spacing w:line="276" w:lineRule="auto"/>
              <w:ind w:left="144"/>
              <w:rPr>
                <w:rFonts w:ascii="Verdana" w:hAnsi="Verdana"/>
              </w:rPr>
            </w:pPr>
            <w:r w:rsidRPr="00843A21">
              <w:rPr>
                <w:rFonts w:ascii="Verdana" w:hAnsi="Verdana"/>
              </w:rPr>
              <w:t>Youth Advocate Programs (YAP)*</w:t>
            </w:r>
          </w:p>
        </w:tc>
        <w:tc>
          <w:tcPr>
            <w:tcW w:w="4675" w:type="dxa"/>
          </w:tcPr>
          <w:p w14:paraId="2465827C" w14:textId="77777777" w:rsidR="009710F7" w:rsidRPr="00843A21" w:rsidRDefault="009710F7" w:rsidP="001905DC">
            <w:pPr>
              <w:spacing w:line="276" w:lineRule="auto"/>
              <w:ind w:left="144"/>
              <w:cnfStyle w:val="000000010000" w:firstRow="0" w:lastRow="0" w:firstColumn="0" w:lastColumn="0" w:oddVBand="0" w:evenVBand="0" w:oddHBand="0" w:evenHBand="1" w:firstRowFirstColumn="0" w:firstRowLastColumn="0" w:lastRowFirstColumn="0" w:lastRowLastColumn="0"/>
              <w:rPr>
                <w:rFonts w:ascii="Verdana" w:hAnsi="Verdana"/>
              </w:rPr>
            </w:pPr>
            <w:r w:rsidRPr="00843A21">
              <w:rPr>
                <w:rFonts w:ascii="Verdana" w:hAnsi="Verdana"/>
              </w:rPr>
              <w:t>Network Provider for YES Waiver</w:t>
            </w:r>
          </w:p>
        </w:tc>
      </w:tr>
    </w:tbl>
    <w:p w14:paraId="399C916B" w14:textId="64F3580F" w:rsidR="00D21E16" w:rsidRPr="00F976EC" w:rsidRDefault="000967CA" w:rsidP="00D37E78">
      <w:pPr>
        <w:pStyle w:val="BodyText"/>
        <w:spacing w:before="120" w:after="0"/>
        <w:rPr>
          <w:rStyle w:val="Strong"/>
        </w:rPr>
      </w:pPr>
      <w:r>
        <w:br/>
      </w:r>
      <w:r w:rsidR="00D21E16" w:rsidRPr="00F976EC">
        <w:rPr>
          <w:rStyle w:val="Strong"/>
        </w:rPr>
        <w:t xml:space="preserve">Table </w:t>
      </w:r>
      <w:r w:rsidR="000E09DF">
        <w:rPr>
          <w:rStyle w:val="Strong"/>
        </w:rPr>
        <w:t>6</w:t>
      </w:r>
      <w:r w:rsidR="00720A88">
        <w:rPr>
          <w:rStyle w:val="Strong"/>
        </w:rPr>
        <w:t xml:space="preserve">: </w:t>
      </w:r>
      <w:r w:rsidR="00A85B10">
        <w:rPr>
          <w:rStyle w:val="Strong"/>
        </w:rPr>
        <w:t>Individual Practi</w:t>
      </w:r>
      <w:r w:rsidR="00852D2D">
        <w:rPr>
          <w:rStyle w:val="Strong"/>
        </w:rPr>
        <w:t>tioners</w:t>
      </w:r>
    </w:p>
    <w:tbl>
      <w:tblPr>
        <w:tblStyle w:val="HHSTableforTextData"/>
        <w:tblW w:w="0" w:type="auto"/>
        <w:tblLook w:val="04A0" w:firstRow="1" w:lastRow="0" w:firstColumn="1" w:lastColumn="0" w:noHBand="0" w:noVBand="1"/>
      </w:tblPr>
      <w:tblGrid>
        <w:gridCol w:w="4675"/>
        <w:gridCol w:w="4675"/>
      </w:tblGrid>
      <w:tr w:rsidR="00C23CD6" w14:paraId="30A52C13" w14:textId="77777777" w:rsidTr="1D667D4A">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6C50B961" w14:textId="3D183673" w:rsidR="00C23CD6" w:rsidRDefault="00C23CD6" w:rsidP="000A051C">
            <w:pPr>
              <w:pStyle w:val="BodyTextafterheading"/>
              <w:spacing w:before="0" w:after="0"/>
              <w:ind w:left="144"/>
              <w:contextualSpacing/>
            </w:pPr>
            <w:r>
              <w:t>Individual Practitioner</w:t>
            </w:r>
          </w:p>
        </w:tc>
        <w:tc>
          <w:tcPr>
            <w:tcW w:w="4675" w:type="dxa"/>
            <w:vAlign w:val="center"/>
          </w:tcPr>
          <w:p w14:paraId="6FE49E98" w14:textId="67ED7D0F" w:rsidR="00C23CD6" w:rsidRDefault="00C23CD6" w:rsidP="000A051C">
            <w:pPr>
              <w:pStyle w:val="BodyTextafterheading"/>
              <w:spacing w:before="0" w:after="0"/>
              <w:ind w:left="144"/>
              <w:contextualSpacing/>
              <w:cnfStyle w:val="100000000000" w:firstRow="1" w:lastRow="0" w:firstColumn="0" w:lastColumn="0" w:oddVBand="0" w:evenVBand="0" w:oddHBand="0" w:evenHBand="0" w:firstRowFirstColumn="0" w:firstRowLastColumn="0" w:lastRowFirstColumn="0" w:lastRowLastColumn="0"/>
            </w:pPr>
            <w:r>
              <w:t>Service(s)</w:t>
            </w:r>
          </w:p>
        </w:tc>
      </w:tr>
      <w:tr w:rsidR="009710F7" w14:paraId="6E283E8F" w14:textId="77777777" w:rsidTr="00190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bottom"/>
          </w:tcPr>
          <w:p w14:paraId="14131CAB" w14:textId="77777777" w:rsidR="009710F7" w:rsidRDefault="009710F7" w:rsidP="001905DC">
            <w:pPr>
              <w:pStyle w:val="BodyTextafterheading"/>
              <w:spacing w:before="0" w:after="0"/>
              <w:ind w:left="144"/>
              <w:contextualSpacing/>
            </w:pPr>
            <w:r w:rsidRPr="00843A21">
              <w:rPr>
                <w:rFonts w:ascii="Verdana" w:hAnsi="Verdana"/>
              </w:rPr>
              <w:t>Angie Jackson</w:t>
            </w:r>
          </w:p>
        </w:tc>
        <w:tc>
          <w:tcPr>
            <w:tcW w:w="4675" w:type="dxa"/>
            <w:vAlign w:val="bottom"/>
          </w:tcPr>
          <w:p w14:paraId="3C3F9447" w14:textId="77777777" w:rsidR="009710F7" w:rsidRDefault="009710F7" w:rsidP="001905DC">
            <w:pPr>
              <w:pStyle w:val="BodyTextafterheading"/>
              <w:spacing w:before="0" w:after="0"/>
              <w:ind w:left="144"/>
              <w:contextualSpacing/>
              <w:cnfStyle w:val="000000100000" w:firstRow="0" w:lastRow="0" w:firstColumn="0" w:lastColumn="0" w:oddVBand="0" w:evenVBand="0" w:oddHBand="1" w:evenHBand="0" w:firstRowFirstColumn="0" w:firstRowLastColumn="0" w:lastRowFirstColumn="0" w:lastRowLastColumn="0"/>
            </w:pPr>
            <w:r w:rsidRPr="00843A21">
              <w:rPr>
                <w:rFonts w:ascii="Verdana" w:hAnsi="Verdana"/>
              </w:rPr>
              <w:t>Training Services</w:t>
            </w:r>
          </w:p>
        </w:tc>
      </w:tr>
      <w:tr w:rsidR="009710F7" w14:paraId="198D1B53" w14:textId="77777777" w:rsidTr="001905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bottom"/>
          </w:tcPr>
          <w:p w14:paraId="18F4DAD4" w14:textId="77777777" w:rsidR="009710F7" w:rsidRDefault="009710F7" w:rsidP="001905DC">
            <w:pPr>
              <w:pStyle w:val="BodyTextafterheading"/>
              <w:spacing w:before="0" w:after="0"/>
              <w:ind w:left="144"/>
              <w:contextualSpacing/>
            </w:pPr>
            <w:r w:rsidRPr="00843A21">
              <w:rPr>
                <w:rFonts w:ascii="Verdana" w:hAnsi="Verdana"/>
              </w:rPr>
              <w:t>Brittany Lundeen</w:t>
            </w:r>
          </w:p>
        </w:tc>
        <w:tc>
          <w:tcPr>
            <w:tcW w:w="4675" w:type="dxa"/>
            <w:vAlign w:val="bottom"/>
          </w:tcPr>
          <w:p w14:paraId="047BB9A1" w14:textId="77777777" w:rsidR="009710F7" w:rsidRDefault="009710F7" w:rsidP="001905DC">
            <w:pPr>
              <w:pStyle w:val="BodyTextafterheading"/>
              <w:spacing w:before="0" w:after="0"/>
              <w:ind w:left="144"/>
              <w:contextualSpacing/>
              <w:cnfStyle w:val="000000010000" w:firstRow="0" w:lastRow="0" w:firstColumn="0" w:lastColumn="0" w:oddVBand="0" w:evenVBand="0" w:oddHBand="0" w:evenHBand="1" w:firstRowFirstColumn="0" w:firstRowLastColumn="0" w:lastRowFirstColumn="0" w:lastRowLastColumn="0"/>
            </w:pPr>
            <w:r w:rsidRPr="00843A21">
              <w:rPr>
                <w:rFonts w:ascii="Verdana" w:hAnsi="Verdana"/>
              </w:rPr>
              <w:t>Recreation Therapy Services for YES Waiver</w:t>
            </w:r>
          </w:p>
        </w:tc>
      </w:tr>
      <w:tr w:rsidR="009710F7" w:rsidRPr="00843A21" w14:paraId="248D221B" w14:textId="77777777" w:rsidTr="00190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bottom"/>
          </w:tcPr>
          <w:p w14:paraId="555DFDB7" w14:textId="77777777" w:rsidR="009710F7" w:rsidRPr="00843A21" w:rsidRDefault="009710F7" w:rsidP="001905DC">
            <w:pPr>
              <w:pStyle w:val="BodyTextafterheading"/>
              <w:spacing w:before="0" w:after="0"/>
              <w:ind w:left="144"/>
              <w:contextualSpacing/>
              <w:rPr>
                <w:rFonts w:ascii="Verdana" w:hAnsi="Verdana"/>
              </w:rPr>
            </w:pPr>
            <w:r w:rsidRPr="00843A21">
              <w:rPr>
                <w:rFonts w:ascii="Verdana" w:hAnsi="Verdana"/>
              </w:rPr>
              <w:t>Brittany Pena</w:t>
            </w:r>
          </w:p>
        </w:tc>
        <w:tc>
          <w:tcPr>
            <w:tcW w:w="4675" w:type="dxa"/>
            <w:vAlign w:val="bottom"/>
          </w:tcPr>
          <w:p w14:paraId="11DB4906" w14:textId="77777777" w:rsidR="009710F7" w:rsidRPr="00843A21" w:rsidRDefault="009710F7" w:rsidP="001905DC">
            <w:pPr>
              <w:pStyle w:val="BodyTextafterheading"/>
              <w:spacing w:before="0" w:after="0"/>
              <w:ind w:left="144"/>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843A21">
              <w:rPr>
                <w:rFonts w:ascii="Verdana" w:hAnsi="Verdana"/>
              </w:rPr>
              <w:t>Intensive Family Therapist for MST</w:t>
            </w:r>
          </w:p>
        </w:tc>
      </w:tr>
      <w:tr w:rsidR="009710F7" w:rsidRPr="00843A21" w14:paraId="09107E36" w14:textId="77777777" w:rsidTr="001905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bottom"/>
          </w:tcPr>
          <w:p w14:paraId="55621EC1" w14:textId="77777777" w:rsidR="009710F7" w:rsidRPr="00843A21" w:rsidRDefault="009710F7" w:rsidP="001905DC">
            <w:pPr>
              <w:pStyle w:val="BodyTextafterheading"/>
              <w:spacing w:before="0" w:after="0"/>
              <w:ind w:left="144"/>
              <w:contextualSpacing/>
              <w:rPr>
                <w:rFonts w:ascii="Verdana" w:hAnsi="Verdana"/>
              </w:rPr>
            </w:pPr>
            <w:r w:rsidRPr="00843A21">
              <w:rPr>
                <w:rFonts w:ascii="Verdana" w:hAnsi="Verdana"/>
              </w:rPr>
              <w:t>Chantel Clarke</w:t>
            </w:r>
          </w:p>
        </w:tc>
        <w:tc>
          <w:tcPr>
            <w:tcW w:w="4675" w:type="dxa"/>
            <w:vAlign w:val="bottom"/>
          </w:tcPr>
          <w:p w14:paraId="3042ADC0" w14:textId="77777777" w:rsidR="009710F7" w:rsidRPr="00843A21" w:rsidRDefault="009710F7" w:rsidP="001905DC">
            <w:pPr>
              <w:pStyle w:val="BodyTextafterheading"/>
              <w:spacing w:before="0" w:after="0"/>
              <w:ind w:left="144"/>
              <w:contextualSpacing/>
              <w:cnfStyle w:val="000000010000" w:firstRow="0" w:lastRow="0" w:firstColumn="0" w:lastColumn="0" w:oddVBand="0" w:evenVBand="0" w:oddHBand="0" w:evenHBand="1" w:firstRowFirstColumn="0" w:firstRowLastColumn="0" w:lastRowFirstColumn="0" w:lastRowLastColumn="0"/>
              <w:rPr>
                <w:rFonts w:ascii="Verdana" w:hAnsi="Verdana"/>
              </w:rPr>
            </w:pPr>
            <w:r w:rsidRPr="00843A21">
              <w:rPr>
                <w:rFonts w:ascii="Verdana" w:hAnsi="Verdana"/>
              </w:rPr>
              <w:t>Recreation Therapy Services for YES Waiver</w:t>
            </w:r>
          </w:p>
        </w:tc>
      </w:tr>
      <w:tr w:rsidR="009710F7" w:rsidRPr="00843A21" w14:paraId="51860DC2" w14:textId="77777777" w:rsidTr="00190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bottom"/>
          </w:tcPr>
          <w:p w14:paraId="58C6A0D4" w14:textId="77777777" w:rsidR="009710F7" w:rsidRPr="00843A21" w:rsidRDefault="009710F7" w:rsidP="001905DC">
            <w:pPr>
              <w:pStyle w:val="BodyTextafterheading"/>
              <w:spacing w:before="0" w:after="0"/>
              <w:ind w:left="144"/>
              <w:contextualSpacing/>
              <w:rPr>
                <w:rFonts w:ascii="Verdana" w:hAnsi="Verdana"/>
              </w:rPr>
            </w:pPr>
            <w:r w:rsidRPr="00843A21">
              <w:rPr>
                <w:rFonts w:ascii="Verdana" w:hAnsi="Verdana"/>
              </w:rPr>
              <w:t>Christi MacWilliams</w:t>
            </w:r>
          </w:p>
        </w:tc>
        <w:tc>
          <w:tcPr>
            <w:tcW w:w="4675" w:type="dxa"/>
            <w:vAlign w:val="bottom"/>
          </w:tcPr>
          <w:p w14:paraId="5714BC3B" w14:textId="77777777" w:rsidR="009710F7" w:rsidRPr="00843A21" w:rsidRDefault="009710F7" w:rsidP="001905DC">
            <w:pPr>
              <w:pStyle w:val="BodyTextafterheading"/>
              <w:spacing w:before="0" w:after="0"/>
              <w:ind w:left="144"/>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843A21">
              <w:rPr>
                <w:rFonts w:ascii="Verdana" w:hAnsi="Verdana"/>
              </w:rPr>
              <w:t>Recreation Therapy Services for YES Waiver</w:t>
            </w:r>
          </w:p>
        </w:tc>
      </w:tr>
      <w:tr w:rsidR="009710F7" w:rsidRPr="00843A21" w14:paraId="79F0CA93" w14:textId="77777777" w:rsidTr="001905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bottom"/>
          </w:tcPr>
          <w:p w14:paraId="1ECA9BA7" w14:textId="77777777" w:rsidR="009710F7" w:rsidRPr="00843A21" w:rsidRDefault="009710F7" w:rsidP="001905DC">
            <w:pPr>
              <w:pStyle w:val="BodyTextafterheading"/>
              <w:spacing w:before="0" w:after="0"/>
              <w:ind w:left="144"/>
              <w:contextualSpacing/>
              <w:rPr>
                <w:rFonts w:ascii="Verdana" w:hAnsi="Verdana"/>
              </w:rPr>
            </w:pPr>
            <w:r w:rsidRPr="00843A21">
              <w:rPr>
                <w:rFonts w:ascii="Verdana" w:hAnsi="Verdana"/>
              </w:rPr>
              <w:t>Christopher Wellington</w:t>
            </w:r>
          </w:p>
        </w:tc>
        <w:tc>
          <w:tcPr>
            <w:tcW w:w="4675" w:type="dxa"/>
            <w:vAlign w:val="bottom"/>
          </w:tcPr>
          <w:p w14:paraId="5DC216C7" w14:textId="77777777" w:rsidR="009710F7" w:rsidRPr="00843A21" w:rsidRDefault="009710F7" w:rsidP="001905DC">
            <w:pPr>
              <w:pStyle w:val="BodyTextafterheading"/>
              <w:spacing w:before="0" w:after="0"/>
              <w:ind w:left="144"/>
              <w:contextualSpacing/>
              <w:cnfStyle w:val="000000010000" w:firstRow="0" w:lastRow="0" w:firstColumn="0" w:lastColumn="0" w:oddVBand="0" w:evenVBand="0" w:oddHBand="0" w:evenHBand="1" w:firstRowFirstColumn="0" w:firstRowLastColumn="0" w:lastRowFirstColumn="0" w:lastRowLastColumn="0"/>
              <w:rPr>
                <w:rFonts w:ascii="Verdana" w:hAnsi="Verdana"/>
              </w:rPr>
            </w:pPr>
            <w:r w:rsidRPr="00843A21">
              <w:rPr>
                <w:rFonts w:ascii="Verdana" w:hAnsi="Verdana"/>
              </w:rPr>
              <w:t>Community Living Support for YES Waiver</w:t>
            </w:r>
          </w:p>
        </w:tc>
      </w:tr>
      <w:tr w:rsidR="009710F7" w:rsidRPr="00843A21" w14:paraId="22E7A5EF" w14:textId="77777777" w:rsidTr="00190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bottom"/>
          </w:tcPr>
          <w:p w14:paraId="25985407" w14:textId="77777777" w:rsidR="009710F7" w:rsidRPr="00843A21" w:rsidRDefault="009710F7" w:rsidP="001905DC">
            <w:pPr>
              <w:pStyle w:val="BodyTextafterheading"/>
              <w:spacing w:before="0" w:after="0"/>
              <w:ind w:left="144"/>
              <w:contextualSpacing/>
              <w:rPr>
                <w:rFonts w:ascii="Verdana" w:hAnsi="Verdana"/>
              </w:rPr>
            </w:pPr>
            <w:r w:rsidRPr="00843A21">
              <w:rPr>
                <w:rFonts w:ascii="Verdana" w:hAnsi="Verdana"/>
              </w:rPr>
              <w:t>David Eaton</w:t>
            </w:r>
          </w:p>
        </w:tc>
        <w:tc>
          <w:tcPr>
            <w:tcW w:w="4675" w:type="dxa"/>
            <w:vAlign w:val="bottom"/>
          </w:tcPr>
          <w:p w14:paraId="5FDC564D" w14:textId="77777777" w:rsidR="009710F7" w:rsidRPr="00843A21" w:rsidRDefault="009710F7" w:rsidP="001905DC">
            <w:pPr>
              <w:pStyle w:val="BodyTextafterheading"/>
              <w:spacing w:before="0" w:after="0"/>
              <w:ind w:left="144"/>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843A21">
              <w:rPr>
                <w:rFonts w:ascii="Verdana" w:hAnsi="Verdana"/>
              </w:rPr>
              <w:t>Recreation Therapy Services for YES Waiver</w:t>
            </w:r>
          </w:p>
        </w:tc>
      </w:tr>
      <w:tr w:rsidR="009710F7" w:rsidRPr="00843A21" w14:paraId="4EF31FD0" w14:textId="77777777" w:rsidTr="001905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bottom"/>
          </w:tcPr>
          <w:p w14:paraId="2BD5931F" w14:textId="77777777" w:rsidR="009710F7" w:rsidRPr="00843A21" w:rsidRDefault="009710F7" w:rsidP="001905DC">
            <w:pPr>
              <w:pStyle w:val="BodyTextafterheading"/>
              <w:spacing w:before="0" w:after="0"/>
              <w:ind w:left="144"/>
              <w:contextualSpacing/>
              <w:rPr>
                <w:rFonts w:ascii="Verdana" w:hAnsi="Verdana"/>
              </w:rPr>
            </w:pPr>
            <w:r>
              <w:rPr>
                <w:rFonts w:ascii="Verdana" w:hAnsi="Verdana"/>
              </w:rPr>
              <w:t>Erika Canales</w:t>
            </w:r>
          </w:p>
        </w:tc>
        <w:tc>
          <w:tcPr>
            <w:tcW w:w="4675" w:type="dxa"/>
            <w:vAlign w:val="bottom"/>
          </w:tcPr>
          <w:p w14:paraId="3B79E92C" w14:textId="77777777" w:rsidR="009710F7" w:rsidRPr="00843A21" w:rsidRDefault="009710F7" w:rsidP="001905DC">
            <w:pPr>
              <w:pStyle w:val="BodyTextafterheading"/>
              <w:spacing w:before="0" w:after="0"/>
              <w:ind w:left="144"/>
              <w:contextualSpacing/>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Psychological Services</w:t>
            </w:r>
          </w:p>
        </w:tc>
      </w:tr>
      <w:tr w:rsidR="009710F7" w:rsidRPr="00843A21" w14:paraId="0A701E0F" w14:textId="77777777" w:rsidTr="00190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bottom"/>
          </w:tcPr>
          <w:p w14:paraId="60185ECE" w14:textId="77777777" w:rsidR="009710F7" w:rsidRPr="00843A21" w:rsidRDefault="009710F7" w:rsidP="001905DC">
            <w:pPr>
              <w:pStyle w:val="BodyTextafterheading"/>
              <w:spacing w:before="0" w:after="0"/>
              <w:ind w:left="144"/>
              <w:contextualSpacing/>
              <w:rPr>
                <w:rFonts w:ascii="Verdana" w:hAnsi="Verdana"/>
              </w:rPr>
            </w:pPr>
            <w:r w:rsidRPr="00843A21">
              <w:rPr>
                <w:rFonts w:ascii="Verdana" w:hAnsi="Verdana"/>
              </w:rPr>
              <w:t>Falon Bridwell</w:t>
            </w:r>
          </w:p>
        </w:tc>
        <w:tc>
          <w:tcPr>
            <w:tcW w:w="4675" w:type="dxa"/>
            <w:vAlign w:val="bottom"/>
          </w:tcPr>
          <w:p w14:paraId="21F9E26C" w14:textId="77777777" w:rsidR="009710F7" w:rsidRPr="00843A21" w:rsidRDefault="009710F7" w:rsidP="001905DC">
            <w:pPr>
              <w:pStyle w:val="BodyTextafterheading"/>
              <w:spacing w:before="0" w:after="0"/>
              <w:ind w:left="144"/>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843A21">
              <w:rPr>
                <w:rFonts w:ascii="Verdana" w:hAnsi="Verdana"/>
              </w:rPr>
              <w:t>Recreation Therapy Services for YES Waiver</w:t>
            </w:r>
          </w:p>
        </w:tc>
      </w:tr>
      <w:tr w:rsidR="009710F7" w:rsidRPr="00843A21" w14:paraId="1574C564" w14:textId="77777777" w:rsidTr="001905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bottom"/>
          </w:tcPr>
          <w:p w14:paraId="0A3DCA3E" w14:textId="77777777" w:rsidR="009710F7" w:rsidRPr="00843A21" w:rsidRDefault="009710F7" w:rsidP="001905DC">
            <w:pPr>
              <w:pStyle w:val="BodyTextafterheading"/>
              <w:spacing w:before="0" w:after="0"/>
              <w:ind w:left="144"/>
              <w:contextualSpacing/>
              <w:rPr>
                <w:rFonts w:ascii="Verdana" w:hAnsi="Verdana"/>
              </w:rPr>
            </w:pPr>
            <w:r w:rsidRPr="00843A21">
              <w:rPr>
                <w:rFonts w:ascii="Verdana" w:hAnsi="Verdana"/>
              </w:rPr>
              <w:t xml:space="preserve">Hermit </w:t>
            </w:r>
            <w:proofErr w:type="spellStart"/>
            <w:r w:rsidRPr="00843A21">
              <w:rPr>
                <w:rFonts w:ascii="Verdana" w:hAnsi="Verdana"/>
              </w:rPr>
              <w:t>Cyrous</w:t>
            </w:r>
            <w:proofErr w:type="spellEnd"/>
          </w:p>
        </w:tc>
        <w:tc>
          <w:tcPr>
            <w:tcW w:w="4675" w:type="dxa"/>
            <w:vAlign w:val="bottom"/>
          </w:tcPr>
          <w:p w14:paraId="7F84671D" w14:textId="77777777" w:rsidR="009710F7" w:rsidRPr="00843A21" w:rsidRDefault="009710F7" w:rsidP="001905DC">
            <w:pPr>
              <w:pStyle w:val="BodyTextafterheading"/>
              <w:spacing w:before="0" w:after="0"/>
              <w:ind w:left="144"/>
              <w:contextualSpacing/>
              <w:cnfStyle w:val="000000010000" w:firstRow="0" w:lastRow="0" w:firstColumn="0" w:lastColumn="0" w:oddVBand="0" w:evenVBand="0" w:oddHBand="0" w:evenHBand="1" w:firstRowFirstColumn="0" w:firstRowLastColumn="0" w:lastRowFirstColumn="0" w:lastRowLastColumn="0"/>
              <w:rPr>
                <w:rFonts w:ascii="Verdana" w:hAnsi="Verdana"/>
              </w:rPr>
            </w:pPr>
            <w:r w:rsidRPr="00843A21">
              <w:rPr>
                <w:rFonts w:ascii="Verdana" w:hAnsi="Verdana"/>
              </w:rPr>
              <w:t>Community Living Support for YES Waiver</w:t>
            </w:r>
          </w:p>
        </w:tc>
      </w:tr>
      <w:tr w:rsidR="009710F7" w:rsidRPr="00843A21" w14:paraId="61FD04A4" w14:textId="77777777" w:rsidTr="00190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bottom"/>
          </w:tcPr>
          <w:p w14:paraId="3BC53890" w14:textId="77777777" w:rsidR="009710F7" w:rsidRPr="00843A21" w:rsidRDefault="009710F7" w:rsidP="001905DC">
            <w:pPr>
              <w:pStyle w:val="BodyTextafterheading"/>
              <w:spacing w:before="0" w:after="0"/>
              <w:ind w:left="144"/>
              <w:contextualSpacing/>
              <w:rPr>
                <w:rFonts w:ascii="Verdana" w:hAnsi="Verdana"/>
              </w:rPr>
            </w:pPr>
            <w:r w:rsidRPr="1D667D4A">
              <w:rPr>
                <w:rFonts w:ascii="Verdana" w:hAnsi="Verdana"/>
              </w:rPr>
              <w:t>Ricky Jansen</w:t>
            </w:r>
          </w:p>
        </w:tc>
        <w:tc>
          <w:tcPr>
            <w:tcW w:w="4675" w:type="dxa"/>
            <w:vAlign w:val="bottom"/>
          </w:tcPr>
          <w:p w14:paraId="1817BEBD" w14:textId="77777777" w:rsidR="009710F7" w:rsidRPr="00843A21" w:rsidRDefault="009710F7" w:rsidP="001905DC">
            <w:pPr>
              <w:pStyle w:val="BodyTextafterheading"/>
              <w:spacing w:before="0" w:after="0"/>
              <w:ind w:left="144"/>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843A21">
              <w:rPr>
                <w:rFonts w:ascii="Verdana" w:hAnsi="Verdana"/>
              </w:rPr>
              <w:t>Community Living Support for YES Waiver</w:t>
            </w:r>
          </w:p>
        </w:tc>
      </w:tr>
      <w:tr w:rsidR="009710F7" w:rsidRPr="00843A21" w14:paraId="4CA37C02" w14:textId="77777777" w:rsidTr="001905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bottom"/>
          </w:tcPr>
          <w:p w14:paraId="42A7F952" w14:textId="77777777" w:rsidR="009710F7" w:rsidRPr="00843A21" w:rsidRDefault="009710F7" w:rsidP="001905DC">
            <w:pPr>
              <w:pStyle w:val="BodyTextafterheading"/>
              <w:spacing w:before="0" w:after="0"/>
              <w:ind w:left="144"/>
              <w:contextualSpacing/>
              <w:rPr>
                <w:rFonts w:ascii="Verdana" w:hAnsi="Verdana"/>
              </w:rPr>
            </w:pPr>
            <w:r w:rsidRPr="00843A21">
              <w:rPr>
                <w:rFonts w:ascii="Verdana" w:hAnsi="Verdana"/>
              </w:rPr>
              <w:t>Janet Hayat</w:t>
            </w:r>
          </w:p>
        </w:tc>
        <w:tc>
          <w:tcPr>
            <w:tcW w:w="4675" w:type="dxa"/>
            <w:vAlign w:val="bottom"/>
          </w:tcPr>
          <w:p w14:paraId="41148E4A" w14:textId="77777777" w:rsidR="009710F7" w:rsidRPr="00843A21" w:rsidRDefault="009710F7" w:rsidP="001905DC">
            <w:pPr>
              <w:pStyle w:val="BodyTextafterheading"/>
              <w:spacing w:before="0" w:after="0"/>
              <w:ind w:left="144"/>
              <w:contextualSpacing/>
              <w:cnfStyle w:val="000000010000" w:firstRow="0" w:lastRow="0" w:firstColumn="0" w:lastColumn="0" w:oddVBand="0" w:evenVBand="0" w:oddHBand="0" w:evenHBand="1" w:firstRowFirstColumn="0" w:firstRowLastColumn="0" w:lastRowFirstColumn="0" w:lastRowLastColumn="0"/>
              <w:rPr>
                <w:rFonts w:ascii="Verdana" w:hAnsi="Verdana"/>
              </w:rPr>
            </w:pPr>
            <w:r w:rsidRPr="00843A21">
              <w:rPr>
                <w:rFonts w:ascii="Verdana" w:hAnsi="Verdana"/>
              </w:rPr>
              <w:t>Art Therapist for YES Waiver</w:t>
            </w:r>
          </w:p>
        </w:tc>
      </w:tr>
      <w:tr w:rsidR="009710F7" w:rsidRPr="00843A21" w14:paraId="75799837" w14:textId="77777777" w:rsidTr="00190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bottom"/>
          </w:tcPr>
          <w:p w14:paraId="36D92B60" w14:textId="77777777" w:rsidR="009710F7" w:rsidRPr="00843A21" w:rsidRDefault="009710F7" w:rsidP="001905DC">
            <w:pPr>
              <w:pStyle w:val="BodyTextafterheading"/>
              <w:spacing w:before="0" w:after="0"/>
              <w:ind w:left="144"/>
              <w:contextualSpacing/>
              <w:rPr>
                <w:rFonts w:ascii="Verdana" w:hAnsi="Verdana"/>
              </w:rPr>
            </w:pPr>
            <w:r w:rsidRPr="00843A21">
              <w:rPr>
                <w:rFonts w:ascii="Verdana" w:hAnsi="Verdana"/>
              </w:rPr>
              <w:lastRenderedPageBreak/>
              <w:t>Jenna Fitzgerald</w:t>
            </w:r>
          </w:p>
        </w:tc>
        <w:tc>
          <w:tcPr>
            <w:tcW w:w="4675" w:type="dxa"/>
            <w:vAlign w:val="bottom"/>
          </w:tcPr>
          <w:p w14:paraId="4461C2C3" w14:textId="77777777" w:rsidR="009710F7" w:rsidRPr="00843A21" w:rsidRDefault="009710F7" w:rsidP="001905DC">
            <w:pPr>
              <w:pStyle w:val="BodyTextafterheading"/>
              <w:spacing w:before="0" w:after="0"/>
              <w:ind w:left="144"/>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843A21">
              <w:rPr>
                <w:rFonts w:ascii="Verdana" w:hAnsi="Verdana"/>
              </w:rPr>
              <w:t>Intensive Family Therapist for MST</w:t>
            </w:r>
          </w:p>
        </w:tc>
      </w:tr>
      <w:tr w:rsidR="009710F7" w:rsidRPr="00843A21" w14:paraId="2EC72A3A" w14:textId="77777777" w:rsidTr="001905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bottom"/>
          </w:tcPr>
          <w:p w14:paraId="54D16CF7" w14:textId="77777777" w:rsidR="009710F7" w:rsidRPr="00843A21" w:rsidRDefault="009710F7" w:rsidP="001905DC">
            <w:pPr>
              <w:pStyle w:val="BodyTextafterheading"/>
              <w:spacing w:before="0" w:after="0"/>
              <w:ind w:left="144"/>
              <w:contextualSpacing/>
              <w:rPr>
                <w:rFonts w:ascii="Verdana" w:hAnsi="Verdana"/>
              </w:rPr>
            </w:pPr>
            <w:r w:rsidRPr="00843A21">
              <w:rPr>
                <w:rFonts w:ascii="Verdana" w:hAnsi="Verdana"/>
              </w:rPr>
              <w:t>Jennifer Knotts</w:t>
            </w:r>
          </w:p>
        </w:tc>
        <w:tc>
          <w:tcPr>
            <w:tcW w:w="4675" w:type="dxa"/>
            <w:vAlign w:val="bottom"/>
          </w:tcPr>
          <w:p w14:paraId="014E2AA8" w14:textId="77777777" w:rsidR="009710F7" w:rsidRPr="00843A21" w:rsidRDefault="009710F7" w:rsidP="001905DC">
            <w:pPr>
              <w:pStyle w:val="BodyTextafterheading"/>
              <w:spacing w:before="0" w:after="0"/>
              <w:ind w:left="144"/>
              <w:contextualSpacing/>
              <w:cnfStyle w:val="000000010000" w:firstRow="0" w:lastRow="0" w:firstColumn="0" w:lastColumn="0" w:oddVBand="0" w:evenVBand="0" w:oddHBand="0" w:evenHBand="1" w:firstRowFirstColumn="0" w:firstRowLastColumn="0" w:lastRowFirstColumn="0" w:lastRowLastColumn="0"/>
              <w:rPr>
                <w:rFonts w:ascii="Verdana" w:hAnsi="Verdana"/>
              </w:rPr>
            </w:pPr>
            <w:r w:rsidRPr="00843A21">
              <w:rPr>
                <w:rFonts w:ascii="Verdana" w:hAnsi="Verdana"/>
              </w:rPr>
              <w:t>Community Living Support for YES Waiver</w:t>
            </w:r>
          </w:p>
        </w:tc>
      </w:tr>
      <w:tr w:rsidR="009710F7" w:rsidRPr="00843A21" w14:paraId="3199F92D" w14:textId="77777777" w:rsidTr="00190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bottom"/>
          </w:tcPr>
          <w:p w14:paraId="29ABB995" w14:textId="77777777" w:rsidR="009710F7" w:rsidRPr="00843A21" w:rsidRDefault="009710F7" w:rsidP="001905DC">
            <w:pPr>
              <w:pStyle w:val="BodyTextafterheading"/>
              <w:spacing w:before="0" w:after="0"/>
              <w:ind w:left="144"/>
              <w:contextualSpacing/>
              <w:rPr>
                <w:rFonts w:ascii="Verdana" w:hAnsi="Verdana"/>
              </w:rPr>
            </w:pPr>
            <w:r w:rsidRPr="00843A21">
              <w:rPr>
                <w:rFonts w:ascii="Verdana" w:hAnsi="Verdana"/>
              </w:rPr>
              <w:t>Justin Boytim</w:t>
            </w:r>
          </w:p>
        </w:tc>
        <w:tc>
          <w:tcPr>
            <w:tcW w:w="4675" w:type="dxa"/>
            <w:vAlign w:val="bottom"/>
          </w:tcPr>
          <w:p w14:paraId="3BFB452F" w14:textId="77777777" w:rsidR="009710F7" w:rsidRPr="00843A21" w:rsidRDefault="009710F7" w:rsidP="001905DC">
            <w:pPr>
              <w:pStyle w:val="BodyTextafterheading"/>
              <w:spacing w:before="0" w:after="0"/>
              <w:ind w:left="144"/>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843A21">
              <w:rPr>
                <w:rFonts w:ascii="Verdana" w:hAnsi="Verdana"/>
              </w:rPr>
              <w:t>Training Services</w:t>
            </w:r>
          </w:p>
        </w:tc>
      </w:tr>
      <w:tr w:rsidR="009710F7" w:rsidRPr="00843A21" w14:paraId="44C6AF03" w14:textId="77777777" w:rsidTr="001905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bottom"/>
          </w:tcPr>
          <w:p w14:paraId="7AF8EE17" w14:textId="77777777" w:rsidR="009710F7" w:rsidRPr="00843A21" w:rsidRDefault="009710F7" w:rsidP="001905DC">
            <w:pPr>
              <w:pStyle w:val="BodyTextafterheading"/>
              <w:spacing w:before="0" w:after="0"/>
              <w:ind w:left="144"/>
              <w:contextualSpacing/>
              <w:rPr>
                <w:rFonts w:ascii="Verdana" w:hAnsi="Verdana"/>
              </w:rPr>
            </w:pPr>
            <w:r w:rsidRPr="00843A21">
              <w:rPr>
                <w:rFonts w:ascii="Verdana" w:hAnsi="Verdana"/>
              </w:rPr>
              <w:t>Keisha Brown</w:t>
            </w:r>
          </w:p>
        </w:tc>
        <w:tc>
          <w:tcPr>
            <w:tcW w:w="4675" w:type="dxa"/>
            <w:vAlign w:val="bottom"/>
          </w:tcPr>
          <w:p w14:paraId="3AD2D1C8" w14:textId="77777777" w:rsidR="009710F7" w:rsidRPr="00843A21" w:rsidRDefault="009710F7" w:rsidP="001905DC">
            <w:pPr>
              <w:pStyle w:val="BodyTextafterheading"/>
              <w:spacing w:before="0" w:after="0"/>
              <w:ind w:left="144"/>
              <w:contextualSpacing/>
              <w:cnfStyle w:val="000000010000" w:firstRow="0" w:lastRow="0" w:firstColumn="0" w:lastColumn="0" w:oddVBand="0" w:evenVBand="0" w:oddHBand="0" w:evenHBand="1" w:firstRowFirstColumn="0" w:firstRowLastColumn="0" w:lastRowFirstColumn="0" w:lastRowLastColumn="0"/>
              <w:rPr>
                <w:rFonts w:ascii="Verdana" w:hAnsi="Verdana"/>
              </w:rPr>
            </w:pPr>
            <w:r w:rsidRPr="00843A21">
              <w:rPr>
                <w:rFonts w:ascii="Verdana" w:hAnsi="Verdana"/>
              </w:rPr>
              <w:t>Crisis On Call Services</w:t>
            </w:r>
          </w:p>
        </w:tc>
      </w:tr>
      <w:tr w:rsidR="009710F7" w:rsidRPr="00843A21" w14:paraId="67C24478" w14:textId="77777777" w:rsidTr="00190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bottom"/>
          </w:tcPr>
          <w:p w14:paraId="1534D943" w14:textId="77777777" w:rsidR="009710F7" w:rsidRPr="00843A21" w:rsidRDefault="009710F7" w:rsidP="001905DC">
            <w:pPr>
              <w:pStyle w:val="BodyTextafterheading"/>
              <w:spacing w:before="0" w:after="0"/>
              <w:ind w:left="144"/>
              <w:contextualSpacing/>
              <w:rPr>
                <w:rFonts w:ascii="Verdana" w:hAnsi="Verdana"/>
              </w:rPr>
            </w:pPr>
            <w:r w:rsidRPr="00843A21">
              <w:rPr>
                <w:rFonts w:ascii="Verdana" w:hAnsi="Verdana"/>
              </w:rPr>
              <w:t>Krystal Lofton</w:t>
            </w:r>
          </w:p>
        </w:tc>
        <w:tc>
          <w:tcPr>
            <w:tcW w:w="4675" w:type="dxa"/>
            <w:vAlign w:val="bottom"/>
          </w:tcPr>
          <w:p w14:paraId="277FAAA5" w14:textId="77777777" w:rsidR="009710F7" w:rsidRPr="00843A21" w:rsidRDefault="009710F7" w:rsidP="001905DC">
            <w:pPr>
              <w:pStyle w:val="BodyTextafterheading"/>
              <w:spacing w:before="0" w:after="0"/>
              <w:ind w:left="144"/>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843A21">
              <w:rPr>
                <w:rFonts w:ascii="Verdana" w:hAnsi="Verdana"/>
              </w:rPr>
              <w:t>Training Services</w:t>
            </w:r>
          </w:p>
        </w:tc>
      </w:tr>
      <w:tr w:rsidR="009710F7" w:rsidRPr="00843A21" w14:paraId="49F8C9AB" w14:textId="77777777" w:rsidTr="001905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bottom"/>
          </w:tcPr>
          <w:p w14:paraId="22C9A934" w14:textId="77777777" w:rsidR="009710F7" w:rsidRPr="00843A21" w:rsidRDefault="009710F7" w:rsidP="001905DC">
            <w:pPr>
              <w:pStyle w:val="BodyTextafterheading"/>
              <w:spacing w:before="0" w:after="0"/>
              <w:ind w:left="144"/>
              <w:contextualSpacing/>
              <w:rPr>
                <w:rFonts w:ascii="Verdana" w:hAnsi="Verdana"/>
              </w:rPr>
            </w:pPr>
            <w:proofErr w:type="spellStart"/>
            <w:r w:rsidRPr="00843A21">
              <w:rPr>
                <w:rFonts w:ascii="Verdana" w:hAnsi="Verdana"/>
              </w:rPr>
              <w:t>LaTosha</w:t>
            </w:r>
            <w:proofErr w:type="spellEnd"/>
            <w:r w:rsidRPr="00843A21">
              <w:rPr>
                <w:rFonts w:ascii="Verdana" w:hAnsi="Verdana"/>
              </w:rPr>
              <w:t xml:space="preserve"> Clark</w:t>
            </w:r>
          </w:p>
        </w:tc>
        <w:tc>
          <w:tcPr>
            <w:tcW w:w="4675" w:type="dxa"/>
            <w:vAlign w:val="bottom"/>
          </w:tcPr>
          <w:p w14:paraId="2D6D022A" w14:textId="77777777" w:rsidR="009710F7" w:rsidRPr="00843A21" w:rsidRDefault="009710F7" w:rsidP="001905DC">
            <w:pPr>
              <w:pStyle w:val="BodyTextafterheading"/>
              <w:spacing w:before="0" w:after="0"/>
              <w:ind w:left="144"/>
              <w:contextualSpacing/>
              <w:cnfStyle w:val="000000010000" w:firstRow="0" w:lastRow="0" w:firstColumn="0" w:lastColumn="0" w:oddVBand="0" w:evenVBand="0" w:oddHBand="0" w:evenHBand="1" w:firstRowFirstColumn="0" w:firstRowLastColumn="0" w:lastRowFirstColumn="0" w:lastRowLastColumn="0"/>
              <w:rPr>
                <w:rFonts w:ascii="Verdana" w:hAnsi="Verdana"/>
              </w:rPr>
            </w:pPr>
            <w:r w:rsidRPr="00843A21">
              <w:rPr>
                <w:rFonts w:ascii="Verdana" w:hAnsi="Verdana"/>
              </w:rPr>
              <w:t>Community Living Support for YES Waiver</w:t>
            </w:r>
          </w:p>
        </w:tc>
      </w:tr>
      <w:tr w:rsidR="009710F7" w:rsidRPr="00843A21" w14:paraId="14AE851A" w14:textId="77777777" w:rsidTr="00190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bottom"/>
          </w:tcPr>
          <w:p w14:paraId="685D78BD" w14:textId="77777777" w:rsidR="009710F7" w:rsidRPr="00843A21" w:rsidRDefault="009710F7" w:rsidP="001905DC">
            <w:pPr>
              <w:pStyle w:val="BodyTextafterheading"/>
              <w:spacing w:before="0" w:after="0"/>
              <w:ind w:left="144"/>
              <w:contextualSpacing/>
              <w:rPr>
                <w:rFonts w:ascii="Verdana" w:hAnsi="Verdana"/>
              </w:rPr>
            </w:pPr>
            <w:r w:rsidRPr="00843A21">
              <w:rPr>
                <w:rFonts w:ascii="Verdana" w:hAnsi="Verdana"/>
              </w:rPr>
              <w:t>Laura Hill</w:t>
            </w:r>
          </w:p>
        </w:tc>
        <w:tc>
          <w:tcPr>
            <w:tcW w:w="4675" w:type="dxa"/>
            <w:vAlign w:val="bottom"/>
          </w:tcPr>
          <w:p w14:paraId="64EDDFC5" w14:textId="77777777" w:rsidR="009710F7" w:rsidRPr="00843A21" w:rsidRDefault="009710F7" w:rsidP="001905DC">
            <w:pPr>
              <w:pStyle w:val="BodyTextafterheading"/>
              <w:spacing w:before="0" w:after="0"/>
              <w:ind w:left="144"/>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843A21">
              <w:rPr>
                <w:rFonts w:ascii="Verdana" w:hAnsi="Verdana"/>
              </w:rPr>
              <w:t>Intensive Family Therapist for MST</w:t>
            </w:r>
          </w:p>
        </w:tc>
      </w:tr>
      <w:tr w:rsidR="009710F7" w:rsidRPr="00843A21" w14:paraId="6D337583" w14:textId="77777777" w:rsidTr="001905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bottom"/>
          </w:tcPr>
          <w:p w14:paraId="0634E594" w14:textId="77777777" w:rsidR="009710F7" w:rsidRPr="00843A21" w:rsidRDefault="009710F7" w:rsidP="001905DC">
            <w:pPr>
              <w:pStyle w:val="BodyTextafterheading"/>
              <w:spacing w:before="0" w:after="0"/>
              <w:ind w:left="144"/>
              <w:contextualSpacing/>
              <w:rPr>
                <w:rFonts w:ascii="Verdana" w:hAnsi="Verdana"/>
              </w:rPr>
            </w:pPr>
            <w:r w:rsidRPr="00843A21">
              <w:rPr>
                <w:rFonts w:ascii="Verdana" w:hAnsi="Verdana"/>
              </w:rPr>
              <w:t>Lauren Reynaga</w:t>
            </w:r>
          </w:p>
        </w:tc>
        <w:tc>
          <w:tcPr>
            <w:tcW w:w="4675" w:type="dxa"/>
            <w:vAlign w:val="bottom"/>
          </w:tcPr>
          <w:p w14:paraId="36581BE8" w14:textId="77777777" w:rsidR="009710F7" w:rsidRPr="00843A21" w:rsidRDefault="009710F7" w:rsidP="001905DC">
            <w:pPr>
              <w:pStyle w:val="BodyTextafterheading"/>
              <w:spacing w:before="0" w:after="0"/>
              <w:ind w:left="144"/>
              <w:contextualSpacing/>
              <w:cnfStyle w:val="000000010000" w:firstRow="0" w:lastRow="0" w:firstColumn="0" w:lastColumn="0" w:oddVBand="0" w:evenVBand="0" w:oddHBand="0" w:evenHBand="1" w:firstRowFirstColumn="0" w:firstRowLastColumn="0" w:lastRowFirstColumn="0" w:lastRowLastColumn="0"/>
              <w:rPr>
                <w:rFonts w:ascii="Verdana" w:hAnsi="Verdana"/>
              </w:rPr>
            </w:pPr>
            <w:r w:rsidRPr="00843A21">
              <w:rPr>
                <w:rFonts w:ascii="Verdana" w:hAnsi="Verdana"/>
              </w:rPr>
              <w:t>Recreation Therapy Services for YES Waiver</w:t>
            </w:r>
          </w:p>
        </w:tc>
      </w:tr>
      <w:tr w:rsidR="009710F7" w:rsidRPr="00843A21" w14:paraId="7B646BA7" w14:textId="77777777" w:rsidTr="00190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bottom"/>
          </w:tcPr>
          <w:p w14:paraId="6A300172" w14:textId="77777777" w:rsidR="009710F7" w:rsidRPr="00843A21" w:rsidRDefault="009710F7" w:rsidP="001905DC">
            <w:pPr>
              <w:pStyle w:val="BodyTextafterheading"/>
              <w:spacing w:before="0" w:after="0"/>
              <w:ind w:left="144"/>
              <w:contextualSpacing/>
              <w:rPr>
                <w:rFonts w:ascii="Verdana" w:hAnsi="Verdana"/>
              </w:rPr>
            </w:pPr>
            <w:proofErr w:type="spellStart"/>
            <w:r w:rsidRPr="00843A21">
              <w:rPr>
                <w:rFonts w:ascii="Verdana" w:hAnsi="Verdana"/>
              </w:rPr>
              <w:t>Leenayvia</w:t>
            </w:r>
            <w:proofErr w:type="spellEnd"/>
            <w:r w:rsidRPr="00843A21">
              <w:rPr>
                <w:rFonts w:ascii="Verdana" w:hAnsi="Verdana"/>
              </w:rPr>
              <w:t xml:space="preserve"> Rodriguez</w:t>
            </w:r>
          </w:p>
        </w:tc>
        <w:tc>
          <w:tcPr>
            <w:tcW w:w="4675" w:type="dxa"/>
            <w:vAlign w:val="bottom"/>
          </w:tcPr>
          <w:p w14:paraId="4EB4711E" w14:textId="77777777" w:rsidR="009710F7" w:rsidRPr="00843A21" w:rsidRDefault="009710F7" w:rsidP="001905DC">
            <w:pPr>
              <w:pStyle w:val="BodyTextafterheading"/>
              <w:spacing w:before="0" w:after="0"/>
              <w:ind w:left="144"/>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843A21">
              <w:rPr>
                <w:rFonts w:ascii="Verdana" w:hAnsi="Verdana"/>
              </w:rPr>
              <w:t>Intensive Family Therapist for MST</w:t>
            </w:r>
          </w:p>
        </w:tc>
      </w:tr>
      <w:tr w:rsidR="009710F7" w:rsidRPr="00843A21" w14:paraId="69F5802E" w14:textId="77777777" w:rsidTr="001905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bottom"/>
          </w:tcPr>
          <w:p w14:paraId="5682EB1D" w14:textId="77777777" w:rsidR="009710F7" w:rsidRPr="00843A21" w:rsidRDefault="009710F7" w:rsidP="001905DC">
            <w:pPr>
              <w:pStyle w:val="BodyTextafterheading"/>
              <w:spacing w:before="0" w:after="0"/>
              <w:ind w:left="144"/>
              <w:contextualSpacing/>
              <w:rPr>
                <w:rFonts w:ascii="Verdana" w:hAnsi="Verdana"/>
              </w:rPr>
            </w:pPr>
            <w:r>
              <w:rPr>
                <w:rFonts w:ascii="Verdana" w:hAnsi="Verdana"/>
              </w:rPr>
              <w:t>Leigh McCann</w:t>
            </w:r>
          </w:p>
        </w:tc>
        <w:tc>
          <w:tcPr>
            <w:tcW w:w="4675" w:type="dxa"/>
            <w:vAlign w:val="bottom"/>
          </w:tcPr>
          <w:p w14:paraId="7782A4B4" w14:textId="77777777" w:rsidR="009710F7" w:rsidRPr="00843A21" w:rsidRDefault="009710F7" w:rsidP="001905DC">
            <w:pPr>
              <w:pStyle w:val="BodyTextafterheading"/>
              <w:spacing w:before="0" w:after="0"/>
              <w:ind w:left="144"/>
              <w:contextualSpacing/>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Psychological Services</w:t>
            </w:r>
          </w:p>
        </w:tc>
      </w:tr>
      <w:tr w:rsidR="009710F7" w:rsidRPr="00843A21" w14:paraId="4483AB46" w14:textId="77777777" w:rsidTr="00190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bottom"/>
          </w:tcPr>
          <w:p w14:paraId="0A43490B" w14:textId="77777777" w:rsidR="009710F7" w:rsidRPr="00843A21" w:rsidRDefault="009710F7" w:rsidP="001905DC">
            <w:pPr>
              <w:pStyle w:val="BodyTextafterheading"/>
              <w:spacing w:before="0" w:after="0"/>
              <w:ind w:left="144"/>
              <w:contextualSpacing/>
              <w:rPr>
                <w:rFonts w:ascii="Verdana" w:hAnsi="Verdana"/>
              </w:rPr>
            </w:pPr>
            <w:r w:rsidRPr="00843A21">
              <w:rPr>
                <w:rFonts w:ascii="Verdana" w:hAnsi="Verdana"/>
              </w:rPr>
              <w:t>Leo Delagarza</w:t>
            </w:r>
          </w:p>
        </w:tc>
        <w:tc>
          <w:tcPr>
            <w:tcW w:w="4675" w:type="dxa"/>
            <w:vAlign w:val="bottom"/>
          </w:tcPr>
          <w:p w14:paraId="5255E6CA" w14:textId="77777777" w:rsidR="009710F7" w:rsidRPr="00843A21" w:rsidRDefault="009710F7" w:rsidP="001905DC">
            <w:pPr>
              <w:pStyle w:val="BodyTextafterheading"/>
              <w:spacing w:before="0" w:after="0"/>
              <w:ind w:left="144"/>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843A21">
              <w:rPr>
                <w:rFonts w:ascii="Verdana" w:hAnsi="Verdana"/>
              </w:rPr>
              <w:t>Training Services</w:t>
            </w:r>
          </w:p>
        </w:tc>
      </w:tr>
      <w:tr w:rsidR="009710F7" w:rsidRPr="00843A21" w14:paraId="284F0071" w14:textId="77777777" w:rsidTr="001905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bottom"/>
          </w:tcPr>
          <w:p w14:paraId="0A4E78BF" w14:textId="77777777" w:rsidR="009710F7" w:rsidRPr="00843A21" w:rsidRDefault="009710F7" w:rsidP="001905DC">
            <w:pPr>
              <w:pStyle w:val="BodyTextafterheading"/>
              <w:spacing w:before="0" w:after="0"/>
              <w:ind w:left="144"/>
              <w:contextualSpacing/>
              <w:rPr>
                <w:rFonts w:ascii="Verdana" w:hAnsi="Verdana"/>
              </w:rPr>
            </w:pPr>
            <w:r>
              <w:rPr>
                <w:rFonts w:ascii="Verdana" w:hAnsi="Verdana"/>
              </w:rPr>
              <w:t>Matthew Williams Professional Limited Liability Company</w:t>
            </w:r>
          </w:p>
        </w:tc>
        <w:tc>
          <w:tcPr>
            <w:tcW w:w="4675" w:type="dxa"/>
            <w:vAlign w:val="bottom"/>
          </w:tcPr>
          <w:p w14:paraId="7F7AE278" w14:textId="77777777" w:rsidR="009710F7" w:rsidRPr="00843A21" w:rsidRDefault="009710F7" w:rsidP="001905DC">
            <w:pPr>
              <w:pStyle w:val="BodyTextafterheading"/>
              <w:spacing w:before="0" w:after="0"/>
              <w:ind w:left="144"/>
              <w:contextualSpacing/>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Psychological Services</w:t>
            </w:r>
          </w:p>
        </w:tc>
      </w:tr>
      <w:tr w:rsidR="009710F7" w:rsidRPr="00843A21" w14:paraId="207B92BB" w14:textId="77777777" w:rsidTr="00190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bottom"/>
          </w:tcPr>
          <w:p w14:paraId="79D0C9C9" w14:textId="77777777" w:rsidR="009710F7" w:rsidRPr="00843A21" w:rsidRDefault="009710F7" w:rsidP="001905DC">
            <w:pPr>
              <w:pStyle w:val="BodyTextafterheading"/>
              <w:spacing w:before="0" w:after="0"/>
              <w:ind w:left="144"/>
              <w:contextualSpacing/>
              <w:rPr>
                <w:rFonts w:ascii="Verdana" w:hAnsi="Verdana"/>
              </w:rPr>
            </w:pPr>
            <w:r w:rsidRPr="00843A21">
              <w:rPr>
                <w:rFonts w:ascii="Verdana" w:hAnsi="Verdana"/>
              </w:rPr>
              <w:t>Maureen Burrows</w:t>
            </w:r>
          </w:p>
        </w:tc>
        <w:tc>
          <w:tcPr>
            <w:tcW w:w="4675" w:type="dxa"/>
            <w:vAlign w:val="bottom"/>
          </w:tcPr>
          <w:p w14:paraId="59DA22F2" w14:textId="77777777" w:rsidR="009710F7" w:rsidRPr="00843A21" w:rsidRDefault="009710F7" w:rsidP="001905DC">
            <w:pPr>
              <w:pStyle w:val="BodyTextafterheading"/>
              <w:spacing w:before="0" w:after="0"/>
              <w:ind w:left="144"/>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843A21">
              <w:rPr>
                <w:rFonts w:ascii="Verdana" w:hAnsi="Verdana"/>
              </w:rPr>
              <w:t>Jail-Based Forensic Competency Evaluations</w:t>
            </w:r>
          </w:p>
        </w:tc>
      </w:tr>
      <w:tr w:rsidR="009710F7" w:rsidRPr="00843A21" w14:paraId="5189235D" w14:textId="77777777" w:rsidTr="001905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bottom"/>
          </w:tcPr>
          <w:p w14:paraId="3FB8CA3A" w14:textId="77777777" w:rsidR="009710F7" w:rsidRPr="00843A21" w:rsidRDefault="009710F7" w:rsidP="001905DC">
            <w:pPr>
              <w:pStyle w:val="BodyTextafterheading"/>
              <w:spacing w:before="0" w:after="0"/>
              <w:ind w:left="144"/>
              <w:contextualSpacing/>
              <w:rPr>
                <w:rFonts w:ascii="Verdana" w:hAnsi="Verdana"/>
              </w:rPr>
            </w:pPr>
            <w:r w:rsidRPr="00843A21">
              <w:rPr>
                <w:rFonts w:ascii="Verdana" w:hAnsi="Verdana"/>
              </w:rPr>
              <w:t xml:space="preserve">Marc </w:t>
            </w:r>
            <w:proofErr w:type="spellStart"/>
            <w:r w:rsidRPr="00843A21">
              <w:rPr>
                <w:rFonts w:ascii="Verdana" w:hAnsi="Verdana"/>
              </w:rPr>
              <w:t>Bickhem</w:t>
            </w:r>
            <w:proofErr w:type="spellEnd"/>
          </w:p>
        </w:tc>
        <w:tc>
          <w:tcPr>
            <w:tcW w:w="4675" w:type="dxa"/>
            <w:vAlign w:val="bottom"/>
          </w:tcPr>
          <w:p w14:paraId="2F32F90D" w14:textId="77777777" w:rsidR="009710F7" w:rsidRPr="00843A21" w:rsidRDefault="009710F7" w:rsidP="001905DC">
            <w:pPr>
              <w:pStyle w:val="BodyTextafterheading"/>
              <w:spacing w:before="0" w:after="0"/>
              <w:ind w:left="144"/>
              <w:contextualSpacing/>
              <w:cnfStyle w:val="000000010000" w:firstRow="0" w:lastRow="0" w:firstColumn="0" w:lastColumn="0" w:oddVBand="0" w:evenVBand="0" w:oddHBand="0" w:evenHBand="1" w:firstRowFirstColumn="0" w:firstRowLastColumn="0" w:lastRowFirstColumn="0" w:lastRowLastColumn="0"/>
              <w:rPr>
                <w:rFonts w:ascii="Verdana" w:hAnsi="Verdana"/>
              </w:rPr>
            </w:pPr>
            <w:r w:rsidRPr="00843A21">
              <w:rPr>
                <w:rFonts w:ascii="Verdana" w:hAnsi="Verdana"/>
              </w:rPr>
              <w:t>Recreation Therapy Services for YES Waiver</w:t>
            </w:r>
          </w:p>
        </w:tc>
      </w:tr>
      <w:tr w:rsidR="009710F7" w:rsidRPr="00843A21" w14:paraId="41A1C1B3" w14:textId="77777777" w:rsidTr="00190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bottom"/>
          </w:tcPr>
          <w:p w14:paraId="151E971B" w14:textId="77777777" w:rsidR="009710F7" w:rsidRPr="00843A21" w:rsidRDefault="009710F7" w:rsidP="001905DC">
            <w:pPr>
              <w:pStyle w:val="BodyTextafterheading"/>
              <w:spacing w:before="0" w:after="0"/>
              <w:ind w:left="144"/>
              <w:contextualSpacing/>
              <w:rPr>
                <w:rFonts w:ascii="Verdana" w:hAnsi="Verdana"/>
              </w:rPr>
            </w:pPr>
            <w:r w:rsidRPr="00843A21">
              <w:rPr>
                <w:rFonts w:ascii="Verdana" w:hAnsi="Verdana"/>
              </w:rPr>
              <w:t>Robert Broadhead</w:t>
            </w:r>
          </w:p>
        </w:tc>
        <w:tc>
          <w:tcPr>
            <w:tcW w:w="4675" w:type="dxa"/>
            <w:vAlign w:val="bottom"/>
          </w:tcPr>
          <w:p w14:paraId="5197A500" w14:textId="77777777" w:rsidR="009710F7" w:rsidRPr="00843A21" w:rsidRDefault="009710F7" w:rsidP="001905DC">
            <w:pPr>
              <w:pStyle w:val="BodyTextafterheading"/>
              <w:spacing w:before="0" w:after="0"/>
              <w:ind w:left="144"/>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843A21">
              <w:rPr>
                <w:rFonts w:ascii="Verdana" w:hAnsi="Verdana"/>
              </w:rPr>
              <w:t>Recreation Therapy Services for YES Waiver</w:t>
            </w:r>
          </w:p>
        </w:tc>
      </w:tr>
      <w:tr w:rsidR="009710F7" w:rsidRPr="00843A21" w14:paraId="35A4F123" w14:textId="77777777" w:rsidTr="001905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bottom"/>
          </w:tcPr>
          <w:p w14:paraId="7590BB8D" w14:textId="77777777" w:rsidR="009710F7" w:rsidRPr="00843A21" w:rsidRDefault="009710F7" w:rsidP="001905DC">
            <w:pPr>
              <w:pStyle w:val="BodyTextafterheading"/>
              <w:spacing w:before="0" w:after="0"/>
              <w:ind w:left="144"/>
              <w:contextualSpacing/>
              <w:rPr>
                <w:rFonts w:ascii="Verdana" w:hAnsi="Verdana"/>
              </w:rPr>
            </w:pPr>
            <w:r w:rsidRPr="00843A21">
              <w:rPr>
                <w:rFonts w:ascii="Verdana" w:hAnsi="Verdana"/>
              </w:rPr>
              <w:t>Sarah Fry</w:t>
            </w:r>
          </w:p>
        </w:tc>
        <w:tc>
          <w:tcPr>
            <w:tcW w:w="4675" w:type="dxa"/>
            <w:vAlign w:val="center"/>
          </w:tcPr>
          <w:p w14:paraId="4C781405" w14:textId="77777777" w:rsidR="009710F7" w:rsidRPr="00843A21" w:rsidRDefault="009710F7" w:rsidP="001905DC">
            <w:pPr>
              <w:pStyle w:val="BodyTextafterheading"/>
              <w:spacing w:before="0" w:after="0"/>
              <w:ind w:left="144"/>
              <w:contextualSpacing/>
              <w:cnfStyle w:val="000000010000" w:firstRow="0" w:lastRow="0" w:firstColumn="0" w:lastColumn="0" w:oddVBand="0" w:evenVBand="0" w:oddHBand="0" w:evenHBand="1" w:firstRowFirstColumn="0" w:firstRowLastColumn="0" w:lastRowFirstColumn="0" w:lastRowLastColumn="0"/>
              <w:rPr>
                <w:rFonts w:ascii="Verdana" w:hAnsi="Verdana"/>
              </w:rPr>
            </w:pPr>
            <w:r w:rsidRPr="00843A21">
              <w:rPr>
                <w:rFonts w:ascii="Verdana" w:hAnsi="Verdana"/>
              </w:rPr>
              <w:t>Psychiatric Medication Services</w:t>
            </w:r>
          </w:p>
        </w:tc>
      </w:tr>
      <w:tr w:rsidR="009710F7" w:rsidRPr="00843A21" w14:paraId="1A8A449A" w14:textId="77777777" w:rsidTr="00190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bottom"/>
          </w:tcPr>
          <w:p w14:paraId="13C3A615" w14:textId="77777777" w:rsidR="009710F7" w:rsidRPr="00843A21" w:rsidRDefault="009710F7" w:rsidP="001905DC">
            <w:pPr>
              <w:pStyle w:val="BodyTextafterheading"/>
              <w:spacing w:before="0" w:after="0"/>
              <w:ind w:left="144"/>
              <w:contextualSpacing/>
              <w:rPr>
                <w:rFonts w:ascii="Verdana" w:hAnsi="Verdana"/>
              </w:rPr>
            </w:pPr>
            <w:r w:rsidRPr="00843A21">
              <w:rPr>
                <w:rFonts w:ascii="Verdana" w:hAnsi="Verdana"/>
              </w:rPr>
              <w:t>Sharon Munroe</w:t>
            </w:r>
          </w:p>
        </w:tc>
        <w:tc>
          <w:tcPr>
            <w:tcW w:w="4675" w:type="dxa"/>
            <w:vAlign w:val="bottom"/>
          </w:tcPr>
          <w:p w14:paraId="53C7295A" w14:textId="77777777" w:rsidR="009710F7" w:rsidRPr="00843A21" w:rsidRDefault="009710F7" w:rsidP="001905DC">
            <w:pPr>
              <w:pStyle w:val="BodyTextafterheading"/>
              <w:spacing w:before="0" w:after="0"/>
              <w:ind w:left="144"/>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843A21">
              <w:rPr>
                <w:rFonts w:ascii="Verdana" w:hAnsi="Verdana"/>
              </w:rPr>
              <w:t>Training Services</w:t>
            </w:r>
          </w:p>
        </w:tc>
      </w:tr>
      <w:tr w:rsidR="009710F7" w:rsidRPr="00843A21" w14:paraId="666055CF" w14:textId="77777777" w:rsidTr="001905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bottom"/>
          </w:tcPr>
          <w:p w14:paraId="457698CB" w14:textId="77777777" w:rsidR="009710F7" w:rsidRPr="00843A21" w:rsidRDefault="009710F7" w:rsidP="001905DC">
            <w:pPr>
              <w:pStyle w:val="BodyTextafterheading"/>
              <w:spacing w:before="0" w:after="0"/>
              <w:ind w:left="144"/>
              <w:contextualSpacing/>
              <w:rPr>
                <w:rFonts w:ascii="Verdana" w:hAnsi="Verdana"/>
              </w:rPr>
            </w:pPr>
            <w:r w:rsidRPr="00843A21">
              <w:rPr>
                <w:rFonts w:ascii="Verdana" w:hAnsi="Verdana"/>
              </w:rPr>
              <w:t>Tabitha Ammons</w:t>
            </w:r>
          </w:p>
        </w:tc>
        <w:tc>
          <w:tcPr>
            <w:tcW w:w="4675" w:type="dxa"/>
            <w:vAlign w:val="bottom"/>
          </w:tcPr>
          <w:p w14:paraId="71D07D35" w14:textId="77777777" w:rsidR="009710F7" w:rsidRPr="00843A21" w:rsidRDefault="009710F7" w:rsidP="001905DC">
            <w:pPr>
              <w:pStyle w:val="BodyTextafterheading"/>
              <w:spacing w:before="0" w:after="0"/>
              <w:ind w:left="144"/>
              <w:contextualSpacing/>
              <w:cnfStyle w:val="000000010000" w:firstRow="0" w:lastRow="0" w:firstColumn="0" w:lastColumn="0" w:oddVBand="0" w:evenVBand="0" w:oddHBand="0" w:evenHBand="1" w:firstRowFirstColumn="0" w:firstRowLastColumn="0" w:lastRowFirstColumn="0" w:lastRowLastColumn="0"/>
              <w:rPr>
                <w:rFonts w:ascii="Verdana" w:hAnsi="Verdana"/>
              </w:rPr>
            </w:pPr>
            <w:r w:rsidRPr="00843A21">
              <w:rPr>
                <w:rFonts w:ascii="Verdana" w:hAnsi="Verdana"/>
              </w:rPr>
              <w:t>Community Living Support for YES Waiver</w:t>
            </w:r>
          </w:p>
        </w:tc>
      </w:tr>
      <w:tr w:rsidR="009710F7" w:rsidRPr="00843A21" w14:paraId="48F46534" w14:textId="77777777" w:rsidTr="00190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bottom"/>
          </w:tcPr>
          <w:p w14:paraId="18C8D446" w14:textId="77777777" w:rsidR="009710F7" w:rsidRPr="00843A21" w:rsidRDefault="009710F7" w:rsidP="001905DC">
            <w:pPr>
              <w:pStyle w:val="BodyTextafterheading"/>
              <w:spacing w:before="0" w:after="0"/>
              <w:ind w:left="144"/>
              <w:contextualSpacing/>
              <w:rPr>
                <w:rFonts w:ascii="Verdana" w:hAnsi="Verdana"/>
              </w:rPr>
            </w:pPr>
            <w:r w:rsidRPr="00843A21">
              <w:rPr>
                <w:rFonts w:ascii="Verdana" w:hAnsi="Verdana"/>
              </w:rPr>
              <w:t xml:space="preserve">Terry </w:t>
            </w:r>
            <w:proofErr w:type="spellStart"/>
            <w:r w:rsidRPr="00843A21">
              <w:rPr>
                <w:rFonts w:ascii="Verdana" w:hAnsi="Verdana"/>
              </w:rPr>
              <w:t>Falcomata</w:t>
            </w:r>
            <w:proofErr w:type="spellEnd"/>
          </w:p>
        </w:tc>
        <w:tc>
          <w:tcPr>
            <w:tcW w:w="4675" w:type="dxa"/>
            <w:vAlign w:val="bottom"/>
          </w:tcPr>
          <w:p w14:paraId="6B842E62" w14:textId="77777777" w:rsidR="009710F7" w:rsidRPr="00843A21" w:rsidRDefault="009710F7" w:rsidP="001905DC">
            <w:pPr>
              <w:pStyle w:val="BodyTextafterheading"/>
              <w:spacing w:before="0" w:after="0"/>
              <w:ind w:left="144"/>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843A21">
              <w:rPr>
                <w:rFonts w:ascii="Verdana" w:hAnsi="Verdana"/>
              </w:rPr>
              <w:t>Training Services</w:t>
            </w:r>
          </w:p>
        </w:tc>
      </w:tr>
      <w:tr w:rsidR="009710F7" w:rsidRPr="00843A21" w14:paraId="172A10E5" w14:textId="77777777" w:rsidTr="001905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bottom"/>
          </w:tcPr>
          <w:p w14:paraId="62DB629E" w14:textId="77777777" w:rsidR="009710F7" w:rsidRPr="00843A21" w:rsidRDefault="009710F7" w:rsidP="001905DC">
            <w:pPr>
              <w:pStyle w:val="BodyTextafterheading"/>
              <w:spacing w:before="0" w:after="0"/>
              <w:ind w:left="144"/>
              <w:contextualSpacing/>
              <w:rPr>
                <w:rFonts w:ascii="Verdana" w:hAnsi="Verdana"/>
              </w:rPr>
            </w:pPr>
            <w:r w:rsidRPr="00843A21">
              <w:rPr>
                <w:rFonts w:ascii="Verdana" w:hAnsi="Verdana"/>
              </w:rPr>
              <w:t xml:space="preserve">Trenton Kowalczuk </w:t>
            </w:r>
          </w:p>
        </w:tc>
        <w:tc>
          <w:tcPr>
            <w:tcW w:w="4675" w:type="dxa"/>
            <w:vAlign w:val="bottom"/>
          </w:tcPr>
          <w:p w14:paraId="1563225D" w14:textId="77777777" w:rsidR="009710F7" w:rsidRPr="00843A21" w:rsidRDefault="009710F7" w:rsidP="001905DC">
            <w:pPr>
              <w:pStyle w:val="BodyTextafterheading"/>
              <w:spacing w:before="0" w:after="0"/>
              <w:ind w:left="144"/>
              <w:contextualSpacing/>
              <w:cnfStyle w:val="000000010000" w:firstRow="0" w:lastRow="0" w:firstColumn="0" w:lastColumn="0" w:oddVBand="0" w:evenVBand="0" w:oddHBand="0" w:evenHBand="1" w:firstRowFirstColumn="0" w:firstRowLastColumn="0" w:lastRowFirstColumn="0" w:lastRowLastColumn="0"/>
              <w:rPr>
                <w:rFonts w:ascii="Verdana" w:hAnsi="Verdana"/>
              </w:rPr>
            </w:pPr>
            <w:r w:rsidRPr="00843A21">
              <w:rPr>
                <w:rFonts w:ascii="Verdana" w:hAnsi="Verdana"/>
              </w:rPr>
              <w:t>Recreation Therapy Services for YES Waiver</w:t>
            </w:r>
          </w:p>
        </w:tc>
      </w:tr>
      <w:tr w:rsidR="009710F7" w14:paraId="43839EA7" w14:textId="77777777" w:rsidTr="003C0E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B4A1580" w14:textId="2CE7A9AD" w:rsidR="009710F7" w:rsidRPr="00843A21" w:rsidRDefault="009710F7" w:rsidP="009710F7">
            <w:pPr>
              <w:pStyle w:val="BodyTextafterheading"/>
              <w:spacing w:before="0" w:after="0"/>
              <w:ind w:left="144"/>
              <w:contextualSpacing/>
              <w:rPr>
                <w:rFonts w:ascii="Verdana" w:hAnsi="Verdana"/>
              </w:rPr>
            </w:pPr>
            <w:r>
              <w:rPr>
                <w:rFonts w:ascii="Verdana" w:hAnsi="Verdana"/>
              </w:rPr>
              <w:t>14 Network/Respite/Community Services Providers</w:t>
            </w:r>
          </w:p>
        </w:tc>
        <w:tc>
          <w:tcPr>
            <w:tcW w:w="4675" w:type="dxa"/>
          </w:tcPr>
          <w:p w14:paraId="4427BCD2" w14:textId="4E652BFC" w:rsidR="009710F7" w:rsidRPr="00843A21" w:rsidRDefault="009710F7" w:rsidP="009710F7">
            <w:pPr>
              <w:pStyle w:val="BodyTextafterheading"/>
              <w:spacing w:before="0" w:after="0"/>
              <w:ind w:left="144"/>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IDD Respite / Community Services</w:t>
            </w:r>
          </w:p>
        </w:tc>
      </w:tr>
    </w:tbl>
    <w:p w14:paraId="6276AECD" w14:textId="77777777" w:rsidR="002E77BD" w:rsidRPr="007F14BF" w:rsidRDefault="002E77BD" w:rsidP="000967CA">
      <w:pPr>
        <w:pStyle w:val="Heading3"/>
        <w:rPr>
          <w:rStyle w:val="Strong"/>
          <w:bCs w:val="0"/>
        </w:rPr>
      </w:pPr>
      <w:r w:rsidRPr="007F14BF">
        <w:rPr>
          <w:rStyle w:val="Strong"/>
          <w:b/>
          <w:bCs w:val="0"/>
        </w:rPr>
        <w:t>Administrative Efficiencies</w:t>
      </w:r>
    </w:p>
    <w:p w14:paraId="32B605CB" w14:textId="78132690" w:rsidR="002E77BD" w:rsidRDefault="002E77BD" w:rsidP="00B0545B">
      <w:pPr>
        <w:pStyle w:val="BodyTextafterheading"/>
        <w:numPr>
          <w:ilvl w:val="0"/>
          <w:numId w:val="16"/>
        </w:numPr>
      </w:pPr>
      <w:r>
        <w:t>Using bullet format, describe the strategies the LMHA or LBHA is using to minimize overhead and administrative costs and achieve purchasing and other administrative efficiencies, as required by the state legislature (see Appendix C).</w:t>
      </w:r>
    </w:p>
    <w:p w14:paraId="78A760AB" w14:textId="77777777" w:rsidR="00C70EE7" w:rsidRPr="00F84651" w:rsidRDefault="00C70EE7" w:rsidP="00F84651">
      <w:pPr>
        <w:pStyle w:val="BodyText"/>
        <w:numPr>
          <w:ilvl w:val="0"/>
          <w:numId w:val="18"/>
        </w:numPr>
        <w:spacing w:before="120" w:after="120"/>
      </w:pPr>
      <w:r w:rsidRPr="00F84651">
        <w:t>BTCS is a member of the East Texas Behavioral Health Network for shared cost savings on essential services (see below).</w:t>
      </w:r>
    </w:p>
    <w:p w14:paraId="48347443" w14:textId="77777777" w:rsidR="00C70EE7" w:rsidRPr="00F84651" w:rsidRDefault="00C70EE7" w:rsidP="00F84651">
      <w:pPr>
        <w:pStyle w:val="BodyText"/>
        <w:numPr>
          <w:ilvl w:val="0"/>
          <w:numId w:val="18"/>
        </w:numPr>
        <w:spacing w:before="120" w:after="120"/>
      </w:pPr>
      <w:r w:rsidRPr="00F84651">
        <w:t>BTCS participates in Texas Council activities, consortia, and pooled resources initiatives.</w:t>
      </w:r>
    </w:p>
    <w:p w14:paraId="1F5CF6CC" w14:textId="77777777" w:rsidR="00C70EE7" w:rsidRPr="00F84651" w:rsidRDefault="00C70EE7" w:rsidP="00F84651">
      <w:pPr>
        <w:pStyle w:val="BodyText"/>
        <w:numPr>
          <w:ilvl w:val="0"/>
          <w:numId w:val="18"/>
        </w:numPr>
        <w:spacing w:before="120" w:after="120"/>
      </w:pPr>
      <w:r w:rsidRPr="00F84651">
        <w:t>BTCS works with Tejas Health Management Association to contract with and improve reimbursement from private and managed care insurance plans and for certain IT Services (see below).</w:t>
      </w:r>
    </w:p>
    <w:p w14:paraId="4C74BC63" w14:textId="77777777" w:rsidR="00C70EE7" w:rsidRPr="00F84651" w:rsidRDefault="00C70EE7" w:rsidP="00F84651">
      <w:pPr>
        <w:pStyle w:val="BodyText"/>
        <w:numPr>
          <w:ilvl w:val="0"/>
          <w:numId w:val="18"/>
        </w:numPr>
        <w:spacing w:before="120" w:after="120"/>
      </w:pPr>
      <w:r w:rsidRPr="00F84651">
        <w:lastRenderedPageBreak/>
        <w:t>BTCS implemented a dedicated Primary Care electronic medical record (eClinicalWorks) in FY22 to improve clinic workflows, automated billing, documentation efficiency, and continuity of care.</w:t>
      </w:r>
    </w:p>
    <w:p w14:paraId="356BF85C" w14:textId="77777777" w:rsidR="00C70EE7" w:rsidRPr="00F84651" w:rsidRDefault="00C70EE7" w:rsidP="00F84651">
      <w:pPr>
        <w:pStyle w:val="BodyText"/>
        <w:numPr>
          <w:ilvl w:val="0"/>
          <w:numId w:val="18"/>
        </w:numPr>
        <w:spacing w:before="120" w:after="120"/>
      </w:pPr>
      <w:r w:rsidRPr="00F84651">
        <w:t>BTCS is actively participating in pilot projects and Alterative Payment Methodologies (APM’s) with several Medicaid Managed Care Organizations.</w:t>
      </w:r>
    </w:p>
    <w:p w14:paraId="0A23A576" w14:textId="77777777" w:rsidR="00C70EE7" w:rsidRPr="00F84651" w:rsidRDefault="00C70EE7" w:rsidP="00F84651">
      <w:pPr>
        <w:pStyle w:val="BodyText"/>
        <w:numPr>
          <w:ilvl w:val="0"/>
          <w:numId w:val="18"/>
        </w:numPr>
        <w:spacing w:before="120" w:after="120"/>
      </w:pPr>
      <w:r w:rsidRPr="00F84651">
        <w:t>BTCS actively applies for and has received grants to (a) reduce costs in areas such as transportation and (b) to expand programming to meet identified needs (from community needs assessments) without incurring new costs.</w:t>
      </w:r>
    </w:p>
    <w:p w14:paraId="148F50A6" w14:textId="7E4EF667" w:rsidR="00C70EE7" w:rsidRPr="00F84651" w:rsidRDefault="00C70EE7" w:rsidP="00F84651">
      <w:pPr>
        <w:pStyle w:val="BodyText"/>
        <w:numPr>
          <w:ilvl w:val="0"/>
          <w:numId w:val="18"/>
        </w:numPr>
        <w:spacing w:before="120" w:after="120"/>
      </w:pPr>
      <w:r w:rsidRPr="00F84651">
        <w:t>BTCS is a Certified Community Behavioral Health Center, implementing best</w:t>
      </w:r>
      <w:r w:rsidR="00D71A52">
        <w:t xml:space="preserve"> </w:t>
      </w:r>
      <w:r w:rsidRPr="00F84651">
        <w:t xml:space="preserve">practices for quality service delivery and participating with other sites in learning collaboration calls. </w:t>
      </w:r>
    </w:p>
    <w:p w14:paraId="5915AD4C" w14:textId="77777777" w:rsidR="00C70EE7" w:rsidRPr="00F84651" w:rsidRDefault="00C70EE7" w:rsidP="00F84651">
      <w:pPr>
        <w:pStyle w:val="BodyText"/>
        <w:numPr>
          <w:ilvl w:val="0"/>
          <w:numId w:val="18"/>
        </w:numPr>
        <w:spacing w:before="120" w:after="120"/>
      </w:pPr>
      <w:r w:rsidRPr="00F84651">
        <w:t>BTCS is accredited by the Commission on Accreditation of Rehabilitation Facilities (CARF) and National Committee for Quality Assurance (NCQA), holding ourselves to the highest standards of care.  BTCS also achieved Rural Health Clinic status for our La Grange location in 2022.</w:t>
      </w:r>
    </w:p>
    <w:p w14:paraId="2FA610E8" w14:textId="620FC7B3" w:rsidR="00C70EE7" w:rsidRPr="00F84651" w:rsidRDefault="00C70EE7" w:rsidP="00F84651">
      <w:pPr>
        <w:pStyle w:val="BodyText"/>
        <w:numPr>
          <w:ilvl w:val="0"/>
          <w:numId w:val="18"/>
        </w:numPr>
        <w:spacing w:before="120" w:after="120"/>
      </w:pPr>
      <w:r w:rsidRPr="00F84651">
        <w:t>BTCS partners with like-minded organizations – such as Community Health Centers of South Central Texas (FQHC</w:t>
      </w:r>
      <w:proofErr w:type="gramStart"/>
      <w:r w:rsidRPr="00F84651">
        <w:t>)</w:t>
      </w:r>
      <w:r w:rsidR="00D71A52">
        <w:t>,</w:t>
      </w:r>
      <w:r w:rsidRPr="00F84651">
        <w:t>The</w:t>
      </w:r>
      <w:proofErr w:type="gramEnd"/>
      <w:r w:rsidRPr="00F84651">
        <w:t xml:space="preserve"> Wood Group</w:t>
      </w:r>
      <w:r w:rsidR="00D71A52">
        <w:t xml:space="preserve"> and Lifetime Care Services</w:t>
      </w:r>
      <w:r w:rsidRPr="00F84651">
        <w:t xml:space="preserve"> – to address provider shortages.</w:t>
      </w:r>
    </w:p>
    <w:p w14:paraId="10E35506" w14:textId="419509A2" w:rsidR="00C70EE7" w:rsidRPr="00F84651" w:rsidRDefault="00C70EE7" w:rsidP="00F84651">
      <w:pPr>
        <w:pStyle w:val="BodyText"/>
        <w:numPr>
          <w:ilvl w:val="0"/>
          <w:numId w:val="18"/>
        </w:numPr>
        <w:spacing w:before="120" w:after="120"/>
      </w:pPr>
      <w:r w:rsidRPr="00F84651">
        <w:t>BTCS includes indirect/overhead costs on its monthly financial reports, with the goal of ensuring this financial ratio remains below 1</w:t>
      </w:r>
      <w:r w:rsidR="00D71A52">
        <w:t>2</w:t>
      </w:r>
      <w:r w:rsidRPr="00F84651">
        <w:t xml:space="preserve">%.  </w:t>
      </w:r>
    </w:p>
    <w:p w14:paraId="76AF54D7" w14:textId="77777777" w:rsidR="00C70EE7" w:rsidRPr="00C70EE7" w:rsidRDefault="00C70EE7" w:rsidP="00F84651">
      <w:pPr>
        <w:pStyle w:val="BodyText"/>
        <w:numPr>
          <w:ilvl w:val="0"/>
          <w:numId w:val="18"/>
        </w:numPr>
        <w:spacing w:before="120" w:after="120"/>
        <w:rPr>
          <w:i/>
          <w:iCs/>
        </w:rPr>
      </w:pPr>
      <w:r w:rsidRPr="00F84651">
        <w:t xml:space="preserve">BTCS is now participating in the two new 1115 Medicaid Waiver programs which began in FY 2022: The Directed Payment Program for Behavioral Health Services (DPP-BHS) and the Public Health Provider – Charity Care Pool (PHP-CCP).  Both programs are intended to further expand outcome-based measurements for quality improvements and to receive reimbursement for providing charity care. </w:t>
      </w:r>
      <w:r w:rsidRPr="00C70EE7">
        <w:rPr>
          <w:i/>
          <w:iCs/>
        </w:rPr>
        <w:t xml:space="preserve"> </w:t>
      </w:r>
    </w:p>
    <w:p w14:paraId="3332C3A9" w14:textId="5BDA8FC4" w:rsidR="002E77BD" w:rsidRDefault="002E77BD" w:rsidP="00CF6F6B">
      <w:pPr>
        <w:pStyle w:val="BodyTextafterheading"/>
        <w:numPr>
          <w:ilvl w:val="0"/>
          <w:numId w:val="16"/>
        </w:numPr>
      </w:pPr>
      <w:r>
        <w:t>List partnerships with other LMHAs and LBHAs related to planning, administration, purchasing, and procurement or other authority functions, or service delivery</w:t>
      </w:r>
      <w:r w:rsidR="00CF6F6B">
        <w:t xml:space="preserve"> in </w:t>
      </w:r>
      <w:r w:rsidR="009676DC">
        <w:t>t</w:t>
      </w:r>
      <w:r w:rsidR="00CF6F6B">
        <w:t xml:space="preserve">able </w:t>
      </w:r>
      <w:r w:rsidR="000E09DF">
        <w:t>7</w:t>
      </w:r>
      <w:r>
        <w:t>. Include only current</w:t>
      </w:r>
      <w:r w:rsidR="009E304A">
        <w:t xml:space="preserve"> and</w:t>
      </w:r>
      <w:r>
        <w:t xml:space="preserve"> ongoing partnerships.</w:t>
      </w:r>
    </w:p>
    <w:p w14:paraId="70C291FF" w14:textId="584491FD" w:rsidR="00497A2E" w:rsidRPr="001261C3" w:rsidRDefault="00497A2E" w:rsidP="00A004B7">
      <w:pPr>
        <w:pStyle w:val="BodyText"/>
        <w:spacing w:after="0"/>
        <w:rPr>
          <w:rStyle w:val="Strong"/>
        </w:rPr>
      </w:pPr>
      <w:r w:rsidRPr="001261C3">
        <w:rPr>
          <w:rStyle w:val="Strong"/>
        </w:rPr>
        <w:t xml:space="preserve">Table </w:t>
      </w:r>
      <w:r w:rsidR="000E09DF">
        <w:rPr>
          <w:rStyle w:val="Strong"/>
        </w:rPr>
        <w:t>7</w:t>
      </w:r>
      <w:r w:rsidR="001D1136">
        <w:rPr>
          <w:rStyle w:val="Strong"/>
        </w:rPr>
        <w:t xml:space="preserve">: </w:t>
      </w:r>
      <w:r w:rsidR="00A36A56">
        <w:rPr>
          <w:rStyle w:val="Strong"/>
        </w:rPr>
        <w:t xml:space="preserve">LMHA </w:t>
      </w:r>
      <w:r w:rsidR="005013B2">
        <w:rPr>
          <w:rStyle w:val="Strong"/>
        </w:rPr>
        <w:t>or LBHA Partnerships</w:t>
      </w:r>
    </w:p>
    <w:tbl>
      <w:tblPr>
        <w:tblStyle w:val="HHSTableforTextData"/>
        <w:tblW w:w="0" w:type="auto"/>
        <w:tblLook w:val="04A0" w:firstRow="1" w:lastRow="0" w:firstColumn="1" w:lastColumn="0" w:noHBand="0" w:noVBand="1"/>
      </w:tblPr>
      <w:tblGrid>
        <w:gridCol w:w="3116"/>
        <w:gridCol w:w="3117"/>
        <w:gridCol w:w="3117"/>
      </w:tblGrid>
      <w:tr w:rsidR="00497A2E" w14:paraId="3B09B3AD" w14:textId="77777777" w:rsidTr="00497A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7A526E9" w14:textId="6CEC3141" w:rsidR="00497A2E" w:rsidRDefault="00497A2E" w:rsidP="00BF6D98">
            <w:pPr>
              <w:pStyle w:val="BodyTextafterheading"/>
              <w:ind w:left="144"/>
            </w:pPr>
            <w:r>
              <w:lastRenderedPageBreak/>
              <w:t>Start Date</w:t>
            </w:r>
          </w:p>
        </w:tc>
        <w:tc>
          <w:tcPr>
            <w:tcW w:w="3117" w:type="dxa"/>
          </w:tcPr>
          <w:p w14:paraId="65D25EC8" w14:textId="72C6C586" w:rsidR="00497A2E" w:rsidRDefault="00497A2E" w:rsidP="00BF6D98">
            <w:pPr>
              <w:pStyle w:val="BodyTextafterheading"/>
              <w:ind w:left="144"/>
              <w:cnfStyle w:val="100000000000" w:firstRow="1" w:lastRow="0" w:firstColumn="0" w:lastColumn="0" w:oddVBand="0" w:evenVBand="0" w:oddHBand="0" w:evenHBand="0" w:firstRowFirstColumn="0" w:firstRowLastColumn="0" w:lastRowFirstColumn="0" w:lastRowLastColumn="0"/>
            </w:pPr>
            <w:r>
              <w:t>Partner(s)</w:t>
            </w:r>
          </w:p>
        </w:tc>
        <w:tc>
          <w:tcPr>
            <w:tcW w:w="3117" w:type="dxa"/>
          </w:tcPr>
          <w:p w14:paraId="528B09F4" w14:textId="6AA8F104" w:rsidR="00497A2E" w:rsidRDefault="00497A2E" w:rsidP="00BF6D98">
            <w:pPr>
              <w:pStyle w:val="BodyTextafterheading"/>
              <w:ind w:left="144"/>
              <w:cnfStyle w:val="100000000000" w:firstRow="1" w:lastRow="0" w:firstColumn="0" w:lastColumn="0" w:oddVBand="0" w:evenVBand="0" w:oddHBand="0" w:evenHBand="0" w:firstRowFirstColumn="0" w:firstRowLastColumn="0" w:lastRowFirstColumn="0" w:lastRowLastColumn="0"/>
            </w:pPr>
            <w:r>
              <w:t>Functions</w:t>
            </w:r>
          </w:p>
        </w:tc>
      </w:tr>
      <w:tr w:rsidR="003662ED" w14:paraId="60E90BA6" w14:textId="77777777" w:rsidTr="0049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E3ECC1C" w14:textId="27C9DC53" w:rsidR="003662ED" w:rsidRDefault="003662ED" w:rsidP="00BF6D98">
            <w:pPr>
              <w:pStyle w:val="BodyTextafterheading"/>
              <w:ind w:left="144"/>
            </w:pPr>
            <w:r w:rsidRPr="003662ED">
              <w:t>2008</w:t>
            </w:r>
          </w:p>
        </w:tc>
        <w:tc>
          <w:tcPr>
            <w:tcW w:w="3117" w:type="dxa"/>
          </w:tcPr>
          <w:p w14:paraId="4A294D53" w14:textId="06162643" w:rsidR="003662ED" w:rsidRDefault="003662ED" w:rsidP="00BF6D98">
            <w:pPr>
              <w:pStyle w:val="BodyTextafterheading"/>
              <w:ind w:left="144"/>
              <w:cnfStyle w:val="000000100000" w:firstRow="0" w:lastRow="0" w:firstColumn="0" w:lastColumn="0" w:oddVBand="0" w:evenVBand="0" w:oddHBand="1" w:evenHBand="0" w:firstRowFirstColumn="0" w:firstRowLastColumn="0" w:lastRowFirstColumn="0" w:lastRowLastColumn="0"/>
            </w:pPr>
            <w:r w:rsidRPr="00F26E63">
              <w:rPr>
                <w:rFonts w:ascii="Verdana" w:hAnsi="Verdana"/>
              </w:rPr>
              <w:t>East Texas Behavioral Health Network (Burke, ACCESS, Andrews Center, Gulf Bend Center, The Gulf Coast Center, Lakes Regional Community Center, Community Healthcore, Pecan Valley, Spindletop Center and Tri-County Behavioral Healthcare)</w:t>
            </w:r>
          </w:p>
        </w:tc>
        <w:tc>
          <w:tcPr>
            <w:tcW w:w="3117" w:type="dxa"/>
          </w:tcPr>
          <w:p w14:paraId="1AC67E1B" w14:textId="77777777" w:rsidR="003662ED" w:rsidRPr="00F26E63" w:rsidRDefault="003662ED" w:rsidP="00BF6D98">
            <w:pPr>
              <w:pStyle w:val="ListBullet"/>
              <w:numPr>
                <w:ilvl w:val="0"/>
                <w:numId w:val="0"/>
              </w:numPr>
              <w:spacing w:before="60" w:after="60"/>
              <w:ind w:left="144"/>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T</w:t>
            </w:r>
            <w:r w:rsidRPr="00F26E63">
              <w:rPr>
                <w:rFonts w:ascii="Verdana" w:hAnsi="Verdana"/>
              </w:rPr>
              <w:t>ele-psychiatry at a reduced rate</w:t>
            </w:r>
          </w:p>
          <w:p w14:paraId="4BE09A44" w14:textId="77777777" w:rsidR="003662ED" w:rsidRPr="00F26E63" w:rsidRDefault="003662ED" w:rsidP="00BF6D98">
            <w:pPr>
              <w:pStyle w:val="ListBullet"/>
              <w:numPr>
                <w:ilvl w:val="0"/>
                <w:numId w:val="0"/>
              </w:numPr>
              <w:spacing w:before="60" w:after="60"/>
              <w:ind w:left="144"/>
              <w:cnfStyle w:val="000000100000" w:firstRow="0" w:lastRow="0" w:firstColumn="0" w:lastColumn="0" w:oddVBand="0" w:evenVBand="0" w:oddHBand="1" w:evenHBand="0" w:firstRowFirstColumn="0" w:firstRowLastColumn="0" w:lastRowFirstColumn="0" w:lastRowLastColumn="0"/>
              <w:rPr>
                <w:rFonts w:ascii="Verdana" w:hAnsi="Verdana"/>
              </w:rPr>
            </w:pPr>
          </w:p>
          <w:p w14:paraId="028AEEFC" w14:textId="77777777" w:rsidR="003662ED" w:rsidRPr="00F26E63" w:rsidRDefault="003662ED" w:rsidP="00BF6D98">
            <w:pPr>
              <w:pStyle w:val="ListBullet"/>
              <w:numPr>
                <w:ilvl w:val="0"/>
                <w:numId w:val="0"/>
              </w:numPr>
              <w:spacing w:before="60" w:after="60"/>
              <w:ind w:left="144"/>
              <w:cnfStyle w:val="000000100000" w:firstRow="0" w:lastRow="0" w:firstColumn="0" w:lastColumn="0" w:oddVBand="0" w:evenVBand="0" w:oddHBand="1" w:evenHBand="0" w:firstRowFirstColumn="0" w:firstRowLastColumn="0" w:lastRowFirstColumn="0" w:lastRowLastColumn="0"/>
              <w:rPr>
                <w:rFonts w:ascii="Verdana" w:hAnsi="Verdana"/>
              </w:rPr>
            </w:pPr>
            <w:r w:rsidRPr="00F26E63">
              <w:rPr>
                <w:rFonts w:ascii="Verdana" w:hAnsi="Verdana"/>
              </w:rPr>
              <w:t>LPHA authority functions / TRR Authorization Services</w:t>
            </w:r>
          </w:p>
          <w:p w14:paraId="26FEE994" w14:textId="77777777" w:rsidR="003662ED" w:rsidRPr="00F26E63" w:rsidRDefault="003662ED" w:rsidP="00BF6D98">
            <w:pPr>
              <w:pStyle w:val="ListBullet"/>
              <w:numPr>
                <w:ilvl w:val="0"/>
                <w:numId w:val="0"/>
              </w:numPr>
              <w:spacing w:before="60" w:after="60"/>
              <w:ind w:left="144"/>
              <w:cnfStyle w:val="000000100000" w:firstRow="0" w:lastRow="0" w:firstColumn="0" w:lastColumn="0" w:oddVBand="0" w:evenVBand="0" w:oddHBand="1" w:evenHBand="0" w:firstRowFirstColumn="0" w:firstRowLastColumn="0" w:lastRowFirstColumn="0" w:lastRowLastColumn="0"/>
              <w:rPr>
                <w:rFonts w:ascii="Verdana" w:hAnsi="Verdana"/>
              </w:rPr>
            </w:pPr>
          </w:p>
          <w:p w14:paraId="1C5396CE" w14:textId="77777777" w:rsidR="003662ED" w:rsidRPr="00F26E63" w:rsidRDefault="003662ED" w:rsidP="00BF6D98">
            <w:pPr>
              <w:pStyle w:val="ListBullet"/>
              <w:numPr>
                <w:ilvl w:val="0"/>
                <w:numId w:val="0"/>
              </w:numPr>
              <w:spacing w:before="60" w:after="60"/>
              <w:ind w:left="144"/>
              <w:cnfStyle w:val="000000100000" w:firstRow="0" w:lastRow="0" w:firstColumn="0" w:lastColumn="0" w:oddVBand="0" w:evenVBand="0" w:oddHBand="1" w:evenHBand="0" w:firstRowFirstColumn="0" w:firstRowLastColumn="0" w:lastRowFirstColumn="0" w:lastRowLastColumn="0"/>
              <w:rPr>
                <w:rFonts w:ascii="Verdana" w:hAnsi="Verdana"/>
              </w:rPr>
            </w:pPr>
            <w:r w:rsidRPr="00F26E63">
              <w:rPr>
                <w:rFonts w:ascii="Verdana" w:hAnsi="Verdana"/>
              </w:rPr>
              <w:t>Regional UM Committee functions</w:t>
            </w:r>
          </w:p>
          <w:p w14:paraId="2D884C6F" w14:textId="77777777" w:rsidR="003662ED" w:rsidRDefault="003662ED" w:rsidP="00BF6D98">
            <w:pPr>
              <w:pStyle w:val="BodyTextafterheading"/>
              <w:ind w:left="144"/>
              <w:cnfStyle w:val="000000100000" w:firstRow="0" w:lastRow="0" w:firstColumn="0" w:lastColumn="0" w:oddVBand="0" w:evenVBand="0" w:oddHBand="1" w:evenHBand="0" w:firstRowFirstColumn="0" w:firstRowLastColumn="0" w:lastRowFirstColumn="0" w:lastRowLastColumn="0"/>
            </w:pPr>
          </w:p>
        </w:tc>
      </w:tr>
      <w:tr w:rsidR="003662ED" w14:paraId="3EAD7071" w14:textId="77777777" w:rsidTr="00497A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770CA86" w14:textId="52029BB0" w:rsidR="003662ED" w:rsidRDefault="003662ED" w:rsidP="00BF6D98">
            <w:pPr>
              <w:pStyle w:val="BodyTextafterheading"/>
              <w:ind w:left="144"/>
            </w:pPr>
            <w:r w:rsidRPr="00F26E63">
              <w:rPr>
                <w:rFonts w:ascii="Verdana" w:hAnsi="Verdana"/>
              </w:rPr>
              <w:t>2014</w:t>
            </w:r>
          </w:p>
        </w:tc>
        <w:tc>
          <w:tcPr>
            <w:tcW w:w="3117" w:type="dxa"/>
          </w:tcPr>
          <w:p w14:paraId="6D16741B" w14:textId="174BE099" w:rsidR="003662ED" w:rsidRDefault="003662ED" w:rsidP="00BF6D98">
            <w:pPr>
              <w:pStyle w:val="BodyTextafterheading"/>
              <w:ind w:left="144"/>
              <w:cnfStyle w:val="000000010000" w:firstRow="0" w:lastRow="0" w:firstColumn="0" w:lastColumn="0" w:oddVBand="0" w:evenVBand="0" w:oddHBand="0" w:evenHBand="1" w:firstRowFirstColumn="0" w:firstRowLastColumn="0" w:lastRowFirstColumn="0" w:lastRowLastColumn="0"/>
            </w:pPr>
            <w:r w:rsidRPr="00F26E63">
              <w:rPr>
                <w:rFonts w:ascii="Verdana" w:hAnsi="Verdana"/>
              </w:rPr>
              <w:t>Tejas Health Management (Integral Care, The Center for Health Care Services</w:t>
            </w:r>
            <w:r w:rsidR="000D16C6">
              <w:rPr>
                <w:rFonts w:ascii="Verdana" w:hAnsi="Verdana"/>
              </w:rPr>
              <w:t xml:space="preserve"> - CHCS</w:t>
            </w:r>
            <w:r w:rsidRPr="00F26E63">
              <w:rPr>
                <w:rFonts w:ascii="Verdana" w:hAnsi="Verdana"/>
              </w:rPr>
              <w:t>, Hill Country MHDD, Tropical Texas Behavioral Health)</w:t>
            </w:r>
          </w:p>
        </w:tc>
        <w:tc>
          <w:tcPr>
            <w:tcW w:w="3117" w:type="dxa"/>
          </w:tcPr>
          <w:p w14:paraId="5C92CD02" w14:textId="77777777" w:rsidR="003662ED" w:rsidRPr="00F26E63" w:rsidRDefault="003662ED" w:rsidP="00BF6D98">
            <w:pPr>
              <w:pStyle w:val="ListBullet"/>
              <w:numPr>
                <w:ilvl w:val="0"/>
                <w:numId w:val="0"/>
              </w:numPr>
              <w:spacing w:before="60" w:after="60"/>
              <w:ind w:left="144"/>
              <w:cnfStyle w:val="000000010000" w:firstRow="0" w:lastRow="0" w:firstColumn="0" w:lastColumn="0" w:oddVBand="0" w:evenVBand="0" w:oddHBand="0" w:evenHBand="1" w:firstRowFirstColumn="0" w:firstRowLastColumn="0" w:lastRowFirstColumn="0" w:lastRowLastColumn="0"/>
              <w:rPr>
                <w:rFonts w:ascii="Verdana" w:hAnsi="Verdana"/>
              </w:rPr>
            </w:pPr>
            <w:r w:rsidRPr="00F26E63">
              <w:rPr>
                <w:rFonts w:ascii="Verdana" w:hAnsi="Verdana"/>
              </w:rPr>
              <w:t>Learning collaborative</w:t>
            </w:r>
          </w:p>
          <w:p w14:paraId="06CFA2B7" w14:textId="77777777" w:rsidR="003662ED" w:rsidRPr="00F26E63" w:rsidRDefault="003662ED" w:rsidP="00BF6D98">
            <w:pPr>
              <w:pStyle w:val="ListBullet"/>
              <w:numPr>
                <w:ilvl w:val="0"/>
                <w:numId w:val="0"/>
              </w:numPr>
              <w:spacing w:before="60" w:after="60"/>
              <w:ind w:left="144"/>
              <w:cnfStyle w:val="000000010000" w:firstRow="0" w:lastRow="0" w:firstColumn="0" w:lastColumn="0" w:oddVBand="0" w:evenVBand="0" w:oddHBand="0" w:evenHBand="1" w:firstRowFirstColumn="0" w:firstRowLastColumn="0" w:lastRowFirstColumn="0" w:lastRowLastColumn="0"/>
              <w:rPr>
                <w:rFonts w:ascii="Verdana" w:hAnsi="Verdana"/>
              </w:rPr>
            </w:pPr>
          </w:p>
          <w:p w14:paraId="66A209EA" w14:textId="77777777" w:rsidR="003662ED" w:rsidRPr="00F26E63" w:rsidRDefault="003662ED" w:rsidP="00BF6D98">
            <w:pPr>
              <w:pStyle w:val="ListBullet"/>
              <w:numPr>
                <w:ilvl w:val="0"/>
                <w:numId w:val="0"/>
              </w:numPr>
              <w:spacing w:before="60" w:after="60"/>
              <w:ind w:left="144"/>
              <w:cnfStyle w:val="000000010000" w:firstRow="0" w:lastRow="0" w:firstColumn="0" w:lastColumn="0" w:oddVBand="0" w:evenVBand="0" w:oddHBand="0" w:evenHBand="1" w:firstRowFirstColumn="0" w:firstRowLastColumn="0" w:lastRowFirstColumn="0" w:lastRowLastColumn="0"/>
              <w:rPr>
                <w:rFonts w:ascii="Verdana" w:hAnsi="Verdana"/>
              </w:rPr>
            </w:pPr>
            <w:r w:rsidRPr="00F26E63">
              <w:rPr>
                <w:rFonts w:ascii="Verdana" w:hAnsi="Verdana"/>
              </w:rPr>
              <w:t>Brokerage with private and MCO insurance plans to establish contracts and/or improved reimbursement rates</w:t>
            </w:r>
          </w:p>
          <w:p w14:paraId="71634220" w14:textId="77777777" w:rsidR="003662ED" w:rsidRPr="00F26E63" w:rsidRDefault="003662ED" w:rsidP="00BF6D98">
            <w:pPr>
              <w:pStyle w:val="ListBullet"/>
              <w:numPr>
                <w:ilvl w:val="0"/>
                <w:numId w:val="0"/>
              </w:numPr>
              <w:spacing w:before="60" w:after="60"/>
              <w:ind w:left="144"/>
              <w:cnfStyle w:val="000000010000" w:firstRow="0" w:lastRow="0" w:firstColumn="0" w:lastColumn="0" w:oddVBand="0" w:evenVBand="0" w:oddHBand="0" w:evenHBand="1" w:firstRowFirstColumn="0" w:firstRowLastColumn="0" w:lastRowFirstColumn="0" w:lastRowLastColumn="0"/>
              <w:rPr>
                <w:rFonts w:ascii="Verdana" w:hAnsi="Verdana"/>
              </w:rPr>
            </w:pPr>
          </w:p>
          <w:p w14:paraId="07ECC9F4" w14:textId="77777777" w:rsidR="003662ED" w:rsidRPr="00F26E63" w:rsidRDefault="003662ED" w:rsidP="00BF6D98">
            <w:pPr>
              <w:pStyle w:val="ListBullet"/>
              <w:numPr>
                <w:ilvl w:val="0"/>
                <w:numId w:val="0"/>
              </w:numPr>
              <w:spacing w:before="60" w:after="60"/>
              <w:ind w:left="144"/>
              <w:cnfStyle w:val="000000010000" w:firstRow="0" w:lastRow="0" w:firstColumn="0" w:lastColumn="0" w:oddVBand="0" w:evenVBand="0" w:oddHBand="0" w:evenHBand="1" w:firstRowFirstColumn="0" w:firstRowLastColumn="0" w:lastRowFirstColumn="0" w:lastRowLastColumn="0"/>
              <w:rPr>
                <w:rFonts w:ascii="Verdana" w:hAnsi="Verdana"/>
              </w:rPr>
            </w:pPr>
            <w:r w:rsidRPr="00F26E63">
              <w:rPr>
                <w:rFonts w:ascii="Verdana" w:hAnsi="Verdana"/>
              </w:rPr>
              <w:t>IT Services</w:t>
            </w:r>
            <w:r>
              <w:rPr>
                <w:rFonts w:ascii="Verdana" w:hAnsi="Verdana"/>
              </w:rPr>
              <w:t>, programming</w:t>
            </w:r>
            <w:r w:rsidRPr="00F26E63">
              <w:rPr>
                <w:rFonts w:ascii="Verdana" w:hAnsi="Verdana"/>
              </w:rPr>
              <w:t xml:space="preserve"> and products</w:t>
            </w:r>
          </w:p>
          <w:p w14:paraId="11713290" w14:textId="220C40BA" w:rsidR="003662ED" w:rsidRDefault="003662ED" w:rsidP="00BF6D98">
            <w:pPr>
              <w:pStyle w:val="BodyTextafterheading"/>
              <w:ind w:left="144"/>
              <w:cnfStyle w:val="000000010000" w:firstRow="0" w:lastRow="0" w:firstColumn="0" w:lastColumn="0" w:oddVBand="0" w:evenVBand="0" w:oddHBand="0" w:evenHBand="1" w:firstRowFirstColumn="0" w:firstRowLastColumn="0" w:lastRowFirstColumn="0" w:lastRowLastColumn="0"/>
            </w:pPr>
            <w:r w:rsidRPr="00F26E63">
              <w:rPr>
                <w:rFonts w:ascii="Verdana" w:hAnsi="Verdana"/>
              </w:rPr>
              <w:t>Business services and consultations</w:t>
            </w:r>
          </w:p>
        </w:tc>
      </w:tr>
      <w:tr w:rsidR="003662ED" w14:paraId="2BA755F9" w14:textId="77777777" w:rsidTr="0049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EBF6663" w14:textId="0808C7AE" w:rsidR="003662ED" w:rsidRDefault="003662ED" w:rsidP="00BF6D98">
            <w:pPr>
              <w:pStyle w:val="BodyTextafterheading"/>
              <w:ind w:left="144"/>
            </w:pPr>
            <w:r w:rsidRPr="00F26E63">
              <w:rPr>
                <w:rFonts w:ascii="Verdana" w:hAnsi="Verdana"/>
              </w:rPr>
              <w:t>2017</w:t>
            </w:r>
          </w:p>
        </w:tc>
        <w:tc>
          <w:tcPr>
            <w:tcW w:w="3117" w:type="dxa"/>
          </w:tcPr>
          <w:p w14:paraId="2FC79472" w14:textId="7A28D8DC" w:rsidR="003662ED" w:rsidRDefault="003662ED" w:rsidP="00BF6D98">
            <w:pPr>
              <w:pStyle w:val="BodyTextafterheading"/>
              <w:ind w:left="144"/>
              <w:cnfStyle w:val="000000100000" w:firstRow="0" w:lastRow="0" w:firstColumn="0" w:lastColumn="0" w:oddVBand="0" w:evenVBand="0" w:oddHBand="1" w:evenHBand="0" w:firstRowFirstColumn="0" w:firstRowLastColumn="0" w:lastRowFirstColumn="0" w:lastRowLastColumn="0"/>
            </w:pPr>
            <w:r w:rsidRPr="00F26E63">
              <w:rPr>
                <w:rFonts w:ascii="Verdana" w:hAnsi="Verdana"/>
              </w:rPr>
              <w:t>Metrocare Services</w:t>
            </w:r>
          </w:p>
        </w:tc>
        <w:tc>
          <w:tcPr>
            <w:tcW w:w="3117" w:type="dxa"/>
          </w:tcPr>
          <w:p w14:paraId="1696A0E6" w14:textId="05F07B08" w:rsidR="003662ED" w:rsidRDefault="003662ED" w:rsidP="00BF6D98">
            <w:pPr>
              <w:pStyle w:val="BodyTextafterheading"/>
              <w:ind w:left="144"/>
              <w:cnfStyle w:val="000000100000" w:firstRow="0" w:lastRow="0" w:firstColumn="0" w:lastColumn="0" w:oddVBand="0" w:evenVBand="0" w:oddHBand="1" w:evenHBand="0" w:firstRowFirstColumn="0" w:firstRowLastColumn="0" w:lastRowFirstColumn="0" w:lastRowLastColumn="0"/>
            </w:pPr>
            <w:r w:rsidRPr="00F26E63">
              <w:rPr>
                <w:rFonts w:ascii="Verdana" w:hAnsi="Verdana"/>
              </w:rPr>
              <w:t>Onsite Lifepath Pharmacy Services and Prescription Assistance Program (PAP) management</w:t>
            </w:r>
          </w:p>
        </w:tc>
      </w:tr>
      <w:tr w:rsidR="003662ED" w14:paraId="03AF5512" w14:textId="77777777" w:rsidTr="00497A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19DF7C5" w14:textId="76CC5AB7" w:rsidR="003662ED" w:rsidRPr="00F26E63" w:rsidRDefault="003662ED" w:rsidP="00BF6D98">
            <w:pPr>
              <w:pStyle w:val="BodyTextafterheading"/>
              <w:ind w:left="144"/>
              <w:rPr>
                <w:rFonts w:ascii="Verdana" w:hAnsi="Verdana"/>
              </w:rPr>
            </w:pPr>
            <w:r w:rsidRPr="00F26E63">
              <w:rPr>
                <w:rFonts w:ascii="Verdana" w:hAnsi="Verdana"/>
              </w:rPr>
              <w:t>2018</w:t>
            </w:r>
          </w:p>
        </w:tc>
        <w:tc>
          <w:tcPr>
            <w:tcW w:w="3117" w:type="dxa"/>
          </w:tcPr>
          <w:p w14:paraId="54373F0B" w14:textId="3FB26023" w:rsidR="003662ED" w:rsidRPr="00F26E63" w:rsidRDefault="003662ED" w:rsidP="00BF6D98">
            <w:pPr>
              <w:pStyle w:val="BodyTextafterheading"/>
              <w:ind w:left="144"/>
              <w:cnfStyle w:val="000000010000" w:firstRow="0" w:lastRow="0" w:firstColumn="0" w:lastColumn="0" w:oddVBand="0" w:evenVBand="0" w:oddHBand="0" w:evenHBand="1" w:firstRowFirstColumn="0" w:firstRowLastColumn="0" w:lastRowFirstColumn="0" w:lastRowLastColumn="0"/>
              <w:rPr>
                <w:rFonts w:ascii="Verdana" w:hAnsi="Verdana"/>
              </w:rPr>
            </w:pPr>
            <w:r w:rsidRPr="00F26E63">
              <w:rPr>
                <w:rFonts w:ascii="Verdana" w:hAnsi="Verdana"/>
              </w:rPr>
              <w:t>Texas Streamline User Group (</w:t>
            </w:r>
            <w:r>
              <w:rPr>
                <w:rFonts w:ascii="Verdana" w:hAnsi="Verdana"/>
              </w:rPr>
              <w:t>TSUG)</w:t>
            </w:r>
          </w:p>
        </w:tc>
        <w:tc>
          <w:tcPr>
            <w:tcW w:w="3117" w:type="dxa"/>
          </w:tcPr>
          <w:p w14:paraId="667A7A36" w14:textId="74858D81" w:rsidR="003662ED" w:rsidRPr="00F26E63" w:rsidRDefault="003662ED" w:rsidP="00BF6D98">
            <w:pPr>
              <w:spacing w:before="60" w:after="60"/>
              <w:ind w:left="144"/>
              <w:cnfStyle w:val="000000010000" w:firstRow="0" w:lastRow="0" w:firstColumn="0" w:lastColumn="0" w:oddVBand="0" w:evenVBand="0" w:oddHBand="0" w:evenHBand="1" w:firstRowFirstColumn="0" w:firstRowLastColumn="0" w:lastRowFirstColumn="0" w:lastRowLastColumn="0"/>
              <w:rPr>
                <w:rFonts w:ascii="Verdana" w:hAnsi="Verdana"/>
              </w:rPr>
            </w:pPr>
            <w:r w:rsidRPr="00F26E63">
              <w:rPr>
                <w:rFonts w:ascii="Verdana" w:hAnsi="Verdana"/>
              </w:rPr>
              <w:t>Streamline Electronic Health Record project collaboration</w:t>
            </w:r>
          </w:p>
        </w:tc>
      </w:tr>
      <w:tr w:rsidR="003662ED" w14:paraId="4BDC3A8C" w14:textId="77777777" w:rsidTr="0049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D984808" w14:textId="0AA61C68" w:rsidR="003662ED" w:rsidRPr="00F26E63" w:rsidRDefault="003662ED" w:rsidP="00BF6D98">
            <w:pPr>
              <w:pStyle w:val="BodyTextafterheading"/>
              <w:ind w:left="144"/>
              <w:rPr>
                <w:rFonts w:ascii="Verdana" w:hAnsi="Verdana"/>
              </w:rPr>
            </w:pPr>
            <w:r w:rsidRPr="14E85821">
              <w:rPr>
                <w:rFonts w:ascii="Verdana" w:hAnsi="Verdana"/>
              </w:rPr>
              <w:t>2018</w:t>
            </w:r>
          </w:p>
        </w:tc>
        <w:tc>
          <w:tcPr>
            <w:tcW w:w="3117" w:type="dxa"/>
          </w:tcPr>
          <w:p w14:paraId="26100E92" w14:textId="0C36C08A" w:rsidR="003662ED" w:rsidRPr="00F26E63" w:rsidRDefault="003662ED" w:rsidP="00BF6D98">
            <w:pPr>
              <w:pStyle w:val="BodyTextafterheading"/>
              <w:ind w:left="144"/>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Border Region Behavioral Health Center, Coastal Plains Community Center, and Gulf Bend Center </w:t>
            </w:r>
          </w:p>
        </w:tc>
        <w:tc>
          <w:tcPr>
            <w:tcW w:w="3117" w:type="dxa"/>
          </w:tcPr>
          <w:p w14:paraId="510BC6F3" w14:textId="0DDB4CAC" w:rsidR="003662ED" w:rsidRPr="00F26E63" w:rsidRDefault="00F171AA" w:rsidP="00BF6D98">
            <w:pPr>
              <w:spacing w:before="60" w:after="60"/>
              <w:ind w:left="144"/>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Integrated Mental Health and Intellectual and Developmental Disability (IDD) </w:t>
            </w:r>
            <w:r w:rsidR="003662ED" w:rsidRPr="14E85821">
              <w:rPr>
                <w:rFonts w:ascii="Verdana" w:hAnsi="Verdana"/>
              </w:rPr>
              <w:t xml:space="preserve">Crisis Respite Services </w:t>
            </w:r>
          </w:p>
        </w:tc>
      </w:tr>
      <w:tr w:rsidR="009710F7" w14:paraId="25748383" w14:textId="77777777" w:rsidTr="00497A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3614EC7" w14:textId="77777777" w:rsidR="009710F7" w:rsidRPr="009710F7" w:rsidRDefault="009710F7" w:rsidP="009710F7">
            <w:pPr>
              <w:pStyle w:val="BodyTextafterheading"/>
              <w:ind w:left="144"/>
              <w:rPr>
                <w:rFonts w:ascii="Verdana" w:hAnsi="Verdana"/>
              </w:rPr>
            </w:pPr>
            <w:r w:rsidRPr="009710F7">
              <w:rPr>
                <w:rFonts w:ascii="Verdana" w:hAnsi="Verdana"/>
              </w:rPr>
              <w:lastRenderedPageBreak/>
              <w:t xml:space="preserve">2019 &amp; 2020 </w:t>
            </w:r>
          </w:p>
          <w:p w14:paraId="79A11DFE" w14:textId="77777777" w:rsidR="009710F7" w:rsidRDefault="009710F7" w:rsidP="009710F7">
            <w:pPr>
              <w:pStyle w:val="BodyTextafterheading"/>
              <w:ind w:left="144"/>
              <w:rPr>
                <w:rFonts w:ascii="Verdana" w:hAnsi="Verdana"/>
              </w:rPr>
            </w:pPr>
          </w:p>
        </w:tc>
        <w:tc>
          <w:tcPr>
            <w:tcW w:w="3117" w:type="dxa"/>
          </w:tcPr>
          <w:p w14:paraId="35088FD0" w14:textId="77181FF3" w:rsidR="009710F7" w:rsidRDefault="009710F7" w:rsidP="009710F7">
            <w:pPr>
              <w:pStyle w:val="BodyTextafterheading"/>
              <w:ind w:left="144"/>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Integral Care and Center for Health Care Services (CHCS)</w:t>
            </w:r>
          </w:p>
        </w:tc>
        <w:tc>
          <w:tcPr>
            <w:tcW w:w="3117" w:type="dxa"/>
          </w:tcPr>
          <w:p w14:paraId="2481DFD4" w14:textId="738EB0A0" w:rsidR="009710F7" w:rsidRDefault="009710F7" w:rsidP="009710F7">
            <w:pPr>
              <w:spacing w:before="60" w:after="60"/>
              <w:ind w:left="144"/>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BTCS participates in the Capital Area Trauma Regional Advisory Council (CATRAC) with Integral Care and the Southwest Texas Regional Advisory Council (STRAC) with CHCS to develop, implement and maintain regional emergency healthcare systems</w:t>
            </w:r>
          </w:p>
        </w:tc>
      </w:tr>
      <w:tr w:rsidR="003662ED" w14:paraId="1B1A42F8" w14:textId="77777777" w:rsidTr="0049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577F24E" w14:textId="54C1E00C" w:rsidR="003662ED" w:rsidRPr="14E85821" w:rsidRDefault="003662ED" w:rsidP="00BF6D98">
            <w:pPr>
              <w:pStyle w:val="BodyTextafterheading"/>
              <w:ind w:left="144"/>
              <w:rPr>
                <w:rFonts w:ascii="Verdana" w:hAnsi="Verdana"/>
              </w:rPr>
            </w:pPr>
            <w:r>
              <w:rPr>
                <w:rFonts w:ascii="Verdana" w:hAnsi="Verdana"/>
              </w:rPr>
              <w:t>2024</w:t>
            </w:r>
          </w:p>
        </w:tc>
        <w:tc>
          <w:tcPr>
            <w:tcW w:w="3117" w:type="dxa"/>
          </w:tcPr>
          <w:p w14:paraId="25978629" w14:textId="3742FBAF" w:rsidR="003662ED" w:rsidRDefault="003662ED" w:rsidP="00BF6D98">
            <w:pPr>
              <w:pStyle w:val="BodyTextafterheading"/>
              <w:ind w:left="144"/>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Andrews Center, Heart of Texas Behavioral Health Network, Brazos Valley MHMR, Texoma Community Centers, WTCMHMR, North Texas Behavioral Health Network, Hill Country MHDD, </w:t>
            </w:r>
            <w:proofErr w:type="spellStart"/>
            <w:r>
              <w:rPr>
                <w:rFonts w:ascii="Verdana" w:hAnsi="Verdana"/>
              </w:rPr>
              <w:t>Star</w:t>
            </w:r>
            <w:r w:rsidR="000D40EE">
              <w:rPr>
                <w:rFonts w:ascii="Verdana" w:hAnsi="Verdana"/>
              </w:rPr>
              <w:t>C</w:t>
            </w:r>
            <w:r>
              <w:rPr>
                <w:rFonts w:ascii="Verdana" w:hAnsi="Verdana"/>
              </w:rPr>
              <w:t>are</w:t>
            </w:r>
            <w:proofErr w:type="spellEnd"/>
            <w:r>
              <w:rPr>
                <w:rFonts w:ascii="Verdana" w:hAnsi="Verdana"/>
              </w:rPr>
              <w:t xml:space="preserve"> Specialty Health System, Border Region Behavioral Health Center, and Center for Life Resources</w:t>
            </w:r>
          </w:p>
        </w:tc>
        <w:tc>
          <w:tcPr>
            <w:tcW w:w="3117" w:type="dxa"/>
          </w:tcPr>
          <w:p w14:paraId="410294FB" w14:textId="18996D12" w:rsidR="003662ED" w:rsidRPr="14E85821" w:rsidRDefault="003662ED" w:rsidP="00BF6D98">
            <w:pPr>
              <w:spacing w:before="60" w:after="60"/>
              <w:ind w:left="144"/>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Pre-Arrest Diversion Collaborative</w:t>
            </w:r>
          </w:p>
        </w:tc>
      </w:tr>
      <w:tr w:rsidR="009710F7" w14:paraId="381E029F" w14:textId="77777777" w:rsidTr="00497A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FAAD7F1" w14:textId="589817DF" w:rsidR="009710F7" w:rsidRPr="009710F7" w:rsidRDefault="009710F7" w:rsidP="009710F7">
            <w:pPr>
              <w:pStyle w:val="BodyTextafterheading"/>
              <w:ind w:left="144"/>
              <w:rPr>
                <w:rFonts w:ascii="Verdana" w:hAnsi="Verdana"/>
              </w:rPr>
            </w:pPr>
            <w:r>
              <w:rPr>
                <w:rFonts w:ascii="Verdana" w:hAnsi="Verdana"/>
              </w:rPr>
              <w:t>As Needed</w:t>
            </w:r>
          </w:p>
        </w:tc>
        <w:tc>
          <w:tcPr>
            <w:tcW w:w="3117" w:type="dxa"/>
          </w:tcPr>
          <w:p w14:paraId="082B2F9E" w14:textId="5DD8A552" w:rsidR="009710F7" w:rsidRDefault="009710F7" w:rsidP="009710F7">
            <w:pPr>
              <w:pStyle w:val="BodyTextafterheading"/>
              <w:ind w:left="144"/>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Any Texas Center, including Emergence Health Network in 2019, Central Counties Services in 2020-2022, and Hill Country MHDD Centers in 2022 and 2024</w:t>
            </w:r>
          </w:p>
        </w:tc>
        <w:tc>
          <w:tcPr>
            <w:tcW w:w="3117" w:type="dxa"/>
          </w:tcPr>
          <w:p w14:paraId="7BCE65A2" w14:textId="5B4B166D" w:rsidR="009710F7" w:rsidRDefault="009710F7" w:rsidP="009710F7">
            <w:pPr>
              <w:spacing w:before="60" w:after="60"/>
              <w:ind w:left="144"/>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Disaster Assistance</w:t>
            </w:r>
          </w:p>
        </w:tc>
      </w:tr>
    </w:tbl>
    <w:p w14:paraId="20345789" w14:textId="77777777" w:rsidR="0041763B" w:rsidRDefault="0041763B" w:rsidP="000967CA">
      <w:pPr>
        <w:pStyle w:val="Heading3"/>
      </w:pPr>
    </w:p>
    <w:p w14:paraId="140101B5" w14:textId="118115F7" w:rsidR="002E77BD" w:rsidRPr="00683B9D" w:rsidRDefault="002E77BD" w:rsidP="000967CA">
      <w:pPr>
        <w:pStyle w:val="Heading3"/>
      </w:pPr>
      <w:r w:rsidRPr="00683B9D">
        <w:t>Provider Availability</w:t>
      </w:r>
    </w:p>
    <w:p w14:paraId="47204346" w14:textId="3E1D52A2" w:rsidR="00A1342A" w:rsidRDefault="002E77BD" w:rsidP="00A1342A">
      <w:pPr>
        <w:pStyle w:val="BodyTextafterheading"/>
      </w:pPr>
      <w:r>
        <w:t xml:space="preserve">The LPND process is specific to provider organizations interested in providing full </w:t>
      </w:r>
      <w:r w:rsidR="00C968F8">
        <w:t>LOCs</w:t>
      </w:r>
      <w:r>
        <w:t xml:space="preserve"> to the non-Medicaid population or specialty services. It is not necessary to assess the availability of individual practitioners. Procurement for the services of individual practitioners is governed by local needs and priorities.</w:t>
      </w:r>
    </w:p>
    <w:p w14:paraId="0953CDDC" w14:textId="77777777" w:rsidR="005A2D47" w:rsidRDefault="004B2F5D" w:rsidP="00D55405">
      <w:pPr>
        <w:pStyle w:val="BodyTextafterheading"/>
        <w:numPr>
          <w:ilvl w:val="0"/>
          <w:numId w:val="16"/>
        </w:numPr>
      </w:pPr>
      <w:r w:rsidRPr="004B2F5D">
        <w:lastRenderedPageBreak/>
        <w:t xml:space="preserve">Using bullet format, describe steps the LMHA or LBHA took to identify potential external providers for this planning cycle. Be as specific as possible. </w:t>
      </w:r>
    </w:p>
    <w:p w14:paraId="62051EE1" w14:textId="7B9B923C" w:rsidR="00D55405" w:rsidRDefault="004B2F5D" w:rsidP="00E215B3">
      <w:pPr>
        <w:pStyle w:val="BodyTextafterheading"/>
        <w:ind w:left="1080"/>
      </w:pPr>
      <w:r w:rsidRPr="004B2F5D">
        <w:t xml:space="preserve">For example, if you posted information on your website, explain how </w:t>
      </w:r>
      <w:r w:rsidR="007167DD">
        <w:t>providers were</w:t>
      </w:r>
      <w:r w:rsidR="007167DD" w:rsidRPr="004B2F5D">
        <w:t xml:space="preserve"> </w:t>
      </w:r>
      <w:r w:rsidRPr="004B2F5D">
        <w:t xml:space="preserve">notified the information was available. </w:t>
      </w:r>
      <w:r w:rsidR="0018158C">
        <w:t>Describe</w:t>
      </w:r>
      <w:r w:rsidRPr="004B2F5D">
        <w:t xml:space="preserve"> contact</w:t>
      </w:r>
      <w:r w:rsidR="0018158C">
        <w:t>s with</w:t>
      </w:r>
      <w:r w:rsidRPr="004B2F5D">
        <w:t xml:space="preserve"> your existing network, Managed Care Organizations, </w:t>
      </w:r>
      <w:r w:rsidR="00EC41D2">
        <w:t>past providers</w:t>
      </w:r>
      <w:r w:rsidR="007167DD">
        <w:t xml:space="preserve"> </w:t>
      </w:r>
      <w:r w:rsidRPr="004B2F5D">
        <w:t xml:space="preserve">and other behavioral health </w:t>
      </w:r>
      <w:r w:rsidR="007167DD">
        <w:t xml:space="preserve">providers and </w:t>
      </w:r>
      <w:r w:rsidRPr="004B2F5D">
        <w:t xml:space="preserve">organizations in the local service area via phone and email. </w:t>
      </w:r>
      <w:r w:rsidR="0018158C">
        <w:t xml:space="preserve">Include information on </w:t>
      </w:r>
      <w:r w:rsidRPr="004B2F5D">
        <w:t>me</w:t>
      </w:r>
      <w:r w:rsidR="0018158C">
        <w:t>e</w:t>
      </w:r>
      <w:r w:rsidRPr="004B2F5D">
        <w:t>t</w:t>
      </w:r>
      <w:r w:rsidR="0018158C">
        <w:t>ings</w:t>
      </w:r>
      <w:r w:rsidRPr="004B2F5D">
        <w:t xml:space="preserve"> with stakeholders, networking events and input from your PNAC about local providers.</w:t>
      </w:r>
    </w:p>
    <w:p w14:paraId="6A7FD626" w14:textId="1C7DA08F" w:rsidR="00BB6E58" w:rsidRPr="00BB6E58" w:rsidRDefault="00BB6E58" w:rsidP="00BB6E58">
      <w:pPr>
        <w:pStyle w:val="BodyTextafterheading"/>
        <w:numPr>
          <w:ilvl w:val="0"/>
          <w:numId w:val="22"/>
        </w:numPr>
      </w:pPr>
      <w:r w:rsidRPr="00BB6E58">
        <w:t xml:space="preserve">On September 3, 2024, BTCS invited HCBS-AMH Providers in our area, Bethany Living Home and Heaven on Earth, to consider all contracting opportunities posted on our website, including the option to provide a full level of care as defined by the Texas Health and Human Services Commission (HHSC)’s Texas Resiliency and Recovery Utilization Management Guidelines for adult services and child/adolescent services. </w:t>
      </w:r>
    </w:p>
    <w:p w14:paraId="454769A3" w14:textId="59CCE1FC" w:rsidR="00BB6E58" w:rsidRPr="00BB6E58" w:rsidRDefault="00BB6E58" w:rsidP="00BB6E58">
      <w:pPr>
        <w:pStyle w:val="BodyTextafterheading"/>
        <w:numPr>
          <w:ilvl w:val="0"/>
          <w:numId w:val="22"/>
        </w:numPr>
      </w:pPr>
      <w:bookmarkStart w:id="0" w:name="_Hlk183520364"/>
      <w:r w:rsidRPr="00BB6E58">
        <w:t xml:space="preserve">In 2022 and 2024, BTCS invited Impact Counseling to contract for youth counseling services.  Negotiations continue with a plan to initiate a contract for counseling </w:t>
      </w:r>
      <w:r w:rsidR="005D5CA6">
        <w:t>when funds are available</w:t>
      </w:r>
      <w:r w:rsidRPr="00BB6E58">
        <w:t xml:space="preserve">.  </w:t>
      </w:r>
    </w:p>
    <w:bookmarkEnd w:id="0"/>
    <w:p w14:paraId="5FAC7964" w14:textId="2D9C0C2B" w:rsidR="00BB6E58" w:rsidRPr="00BB6E58" w:rsidRDefault="00BB6E58" w:rsidP="00BB6E58">
      <w:pPr>
        <w:pStyle w:val="BodyTextafterheading"/>
        <w:numPr>
          <w:ilvl w:val="0"/>
          <w:numId w:val="22"/>
        </w:numPr>
      </w:pPr>
      <w:r w:rsidRPr="00BB6E58">
        <w:t>BTCS maintains a Contracting tab on its website with opportunities and provider manuals outlining our goal to expand our provider network. BTCS always maintains its latest approved LPND here as well.</w:t>
      </w:r>
    </w:p>
    <w:p w14:paraId="76B9CFBC" w14:textId="77777777" w:rsidR="00BB6E58" w:rsidRPr="00BB6E58" w:rsidRDefault="00BB6E58" w:rsidP="00BB6E58">
      <w:pPr>
        <w:pStyle w:val="BodyTextafterheading"/>
        <w:numPr>
          <w:ilvl w:val="0"/>
          <w:numId w:val="22"/>
        </w:numPr>
      </w:pPr>
      <w:r w:rsidRPr="00BB6E58">
        <w:t xml:space="preserve">BTCS discusses contracting opportunities at area Behavioral Health Taskforce meetings and other in-person/virtual networking events.  In community networking meetings since the submission of the last LPND, BTCS leadership did not encounter any organizations interested in providing full levels of care to non-Medicaid populations.  This includes existing YES Waiver providers. </w:t>
      </w:r>
    </w:p>
    <w:p w14:paraId="6B900C0A" w14:textId="58E9C62E" w:rsidR="00BB6E58" w:rsidRPr="00BB6E58" w:rsidRDefault="00BB6E58" w:rsidP="00BB6E58">
      <w:pPr>
        <w:pStyle w:val="BodyTextafterheading"/>
        <w:numPr>
          <w:ilvl w:val="0"/>
          <w:numId w:val="22"/>
        </w:numPr>
      </w:pPr>
      <w:r w:rsidRPr="00BB6E58">
        <w:t xml:space="preserve">BTCS will seek input from the RPNAC about the availability of local providers on </w:t>
      </w:r>
      <w:r w:rsidR="00AA268E">
        <w:t>December 11, 2024</w:t>
      </w:r>
      <w:r w:rsidR="00133155">
        <w:t>,</w:t>
      </w:r>
      <w:r>
        <w:t xml:space="preserve"> </w:t>
      </w:r>
      <w:r w:rsidRPr="00BB6E58">
        <w:t xml:space="preserve">during a scheduled meeting. </w:t>
      </w:r>
    </w:p>
    <w:p w14:paraId="3BFA2FEC" w14:textId="0A09A773" w:rsidR="00F976EC" w:rsidRDefault="002E77BD" w:rsidP="00827D6B">
      <w:pPr>
        <w:pStyle w:val="BodyText"/>
        <w:numPr>
          <w:ilvl w:val="0"/>
          <w:numId w:val="16"/>
        </w:numPr>
      </w:pPr>
      <w:r>
        <w:t xml:space="preserve">Complete </w:t>
      </w:r>
      <w:r w:rsidR="00BB197B">
        <w:t>t</w:t>
      </w:r>
      <w:r w:rsidR="00FD7A50">
        <w:t xml:space="preserve">able </w:t>
      </w:r>
      <w:r w:rsidR="000E09DF">
        <w:t>8</w:t>
      </w:r>
      <w:r w:rsidR="00F85D32">
        <w:t xml:space="preserve"> by l</w:t>
      </w:r>
      <w:r>
        <w:t>ist</w:t>
      </w:r>
      <w:r w:rsidR="00F85D32">
        <w:t>ing</w:t>
      </w:r>
      <w:r>
        <w:t xml:space="preserve"> each potential provider identified during the process described </w:t>
      </w:r>
      <w:r w:rsidR="00CC07E1">
        <w:t>above</w:t>
      </w:r>
      <w:r>
        <w:t xml:space="preserve">. Include all current contractors, provider </w:t>
      </w:r>
      <w:r>
        <w:lastRenderedPageBreak/>
        <w:t xml:space="preserve">organizations that registered on the HHSC website, and provider organizations that have submitted written inquiries since submission of </w:t>
      </w:r>
      <w:r w:rsidR="00B42223">
        <w:t xml:space="preserve">the fiscal year </w:t>
      </w:r>
      <w:r w:rsidR="00F85D32">
        <w:t>2023</w:t>
      </w:r>
      <w:r>
        <w:t xml:space="preserve"> LPND plan. </w:t>
      </w:r>
      <w:r w:rsidR="00C04BC1" w:rsidRPr="00C04BC1">
        <w:t xml:space="preserve">HHSC will notify </w:t>
      </w:r>
      <w:r w:rsidR="00C04BC1">
        <w:t>an LMHA or LBHA</w:t>
      </w:r>
      <w:r w:rsidR="00C04BC1" w:rsidRPr="00C04BC1">
        <w:t xml:space="preserve"> if a provider expresses interest in contracting via the HHSC website. HHSC will accept </w:t>
      </w:r>
      <w:r w:rsidR="00C04BC1">
        <w:t xml:space="preserve">new </w:t>
      </w:r>
      <w:r w:rsidR="00C04BC1" w:rsidRPr="00C04BC1">
        <w:t xml:space="preserve">provider inquiry forms through the HHSC website from September 1, </w:t>
      </w:r>
      <w:r w:rsidR="00C85AE8" w:rsidRPr="00C04BC1">
        <w:t>2024,</w:t>
      </w:r>
      <w:r w:rsidR="00C04BC1">
        <w:t xml:space="preserve"> </w:t>
      </w:r>
      <w:r w:rsidR="00C04BC1" w:rsidRPr="00C04BC1">
        <w:t>t</w:t>
      </w:r>
      <w:r w:rsidR="00C04BC1">
        <w:t>hrough</w:t>
      </w:r>
      <w:r w:rsidR="00C04BC1" w:rsidRPr="00C04BC1">
        <w:t xml:space="preserve"> December 1, 2024.</w:t>
      </w:r>
      <w:r w:rsidR="00B16DD2">
        <w:t xml:space="preserve"> When completing the table:</w:t>
      </w:r>
    </w:p>
    <w:p w14:paraId="10F10067" w14:textId="77777777" w:rsidR="00664507" w:rsidRDefault="00664507" w:rsidP="00664507">
      <w:pPr>
        <w:pStyle w:val="BodyTextafterheading"/>
        <w:numPr>
          <w:ilvl w:val="0"/>
          <w:numId w:val="13"/>
        </w:numPr>
      </w:pPr>
      <w:r>
        <w:t xml:space="preserve">Note the source used to identify the provider (e.g., current contract, HHSC website, LMHA or LBHA website, e-mail, written inquiry). </w:t>
      </w:r>
    </w:p>
    <w:p w14:paraId="2D0E05C2" w14:textId="77777777" w:rsidR="00827D6B" w:rsidRDefault="00664507" w:rsidP="00827D6B">
      <w:pPr>
        <w:pStyle w:val="BodyTextafterheading"/>
        <w:numPr>
          <w:ilvl w:val="0"/>
          <w:numId w:val="13"/>
        </w:numPr>
      </w:pPr>
      <w:r>
        <w:t xml:space="preserve">Summarize the content of the follow-up contact described in Appendix A. If the provider </w:t>
      </w:r>
      <w:proofErr w:type="gramStart"/>
      <w:r>
        <w:t>did</w:t>
      </w:r>
      <w:proofErr w:type="gramEnd"/>
      <w:r>
        <w:t xml:space="preserve"> not respond to your invitation within 14 days, document your actions and the provider’s response. In the final column, note the conclusion regarding the provider’s availability. For those deemed to be potential providers, include the type of services the provider can provide and the provider’s service capacity.</w:t>
      </w:r>
    </w:p>
    <w:p w14:paraId="5D48D535" w14:textId="5680FA45" w:rsidR="00827D6B" w:rsidRDefault="00827D6B" w:rsidP="00827D6B">
      <w:pPr>
        <w:pStyle w:val="BodyTextafterheading"/>
      </w:pPr>
      <w:r>
        <w:t>Do not finalize your provider availability assessment or post the LPND plan for public comment before September 1, 2024.</w:t>
      </w:r>
    </w:p>
    <w:p w14:paraId="20E0364E" w14:textId="413CA9F5" w:rsidR="001261C3" w:rsidRPr="001261C3" w:rsidRDefault="001261C3" w:rsidP="00AF56CD">
      <w:pPr>
        <w:pStyle w:val="BodyText"/>
        <w:spacing w:after="0"/>
        <w:rPr>
          <w:rStyle w:val="Strong"/>
        </w:rPr>
      </w:pPr>
      <w:r w:rsidRPr="001261C3">
        <w:rPr>
          <w:rStyle w:val="Strong"/>
        </w:rPr>
        <w:t xml:space="preserve">Table </w:t>
      </w:r>
      <w:r w:rsidR="005715B3">
        <w:rPr>
          <w:rStyle w:val="Strong"/>
        </w:rPr>
        <w:t>8</w:t>
      </w:r>
      <w:r w:rsidR="0024184C">
        <w:rPr>
          <w:rStyle w:val="Strong"/>
        </w:rPr>
        <w:t xml:space="preserve">: </w:t>
      </w:r>
      <w:r w:rsidR="00411960">
        <w:rPr>
          <w:rStyle w:val="Strong"/>
        </w:rPr>
        <w:t>Potential Providers</w:t>
      </w:r>
    </w:p>
    <w:tbl>
      <w:tblPr>
        <w:tblStyle w:val="HHSTableforTextData"/>
        <w:tblW w:w="0" w:type="auto"/>
        <w:tblLook w:val="04A0" w:firstRow="1" w:lastRow="0" w:firstColumn="1" w:lastColumn="0" w:noHBand="0" w:noVBand="1"/>
      </w:tblPr>
      <w:tblGrid>
        <w:gridCol w:w="2337"/>
        <w:gridCol w:w="2337"/>
        <w:gridCol w:w="2338"/>
        <w:gridCol w:w="2338"/>
      </w:tblGrid>
      <w:tr w:rsidR="00752A74" w14:paraId="472D5FF0" w14:textId="77777777" w:rsidTr="00D37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110AA9AF" w14:textId="0C925819" w:rsidR="00752A74" w:rsidRDefault="00752A74" w:rsidP="00AD67B9">
            <w:pPr>
              <w:pStyle w:val="BodyTextafterheading"/>
            </w:pPr>
            <w:r>
              <w:t>Provider</w:t>
            </w:r>
          </w:p>
        </w:tc>
        <w:tc>
          <w:tcPr>
            <w:tcW w:w="0" w:type="dxa"/>
            <w:vAlign w:val="center"/>
          </w:tcPr>
          <w:p w14:paraId="611C648E" w14:textId="6C55AE88" w:rsidR="00752A74" w:rsidRDefault="00752A74" w:rsidP="00AD67B9">
            <w:pPr>
              <w:pStyle w:val="BodyTextafterheading"/>
              <w:cnfStyle w:val="100000000000" w:firstRow="1" w:lastRow="0" w:firstColumn="0" w:lastColumn="0" w:oddVBand="0" w:evenVBand="0" w:oddHBand="0" w:evenHBand="0" w:firstRowFirstColumn="0" w:firstRowLastColumn="0" w:lastRowFirstColumn="0" w:lastRowLastColumn="0"/>
            </w:pPr>
            <w:r>
              <w:t>Source of Identification</w:t>
            </w:r>
          </w:p>
        </w:tc>
        <w:tc>
          <w:tcPr>
            <w:tcW w:w="0" w:type="dxa"/>
            <w:vAlign w:val="center"/>
          </w:tcPr>
          <w:p w14:paraId="194A8E74" w14:textId="74533A62" w:rsidR="00752A74" w:rsidRDefault="00752A74" w:rsidP="00AD67B9">
            <w:pPr>
              <w:pStyle w:val="BodyTextafterheading"/>
              <w:cnfStyle w:val="100000000000" w:firstRow="1" w:lastRow="0" w:firstColumn="0" w:lastColumn="0" w:oddVBand="0" w:evenVBand="0" w:oddHBand="0" w:evenHBand="0" w:firstRowFirstColumn="0" w:firstRowLastColumn="0" w:lastRowFirstColumn="0" w:lastRowLastColumn="0"/>
            </w:pPr>
            <w:r>
              <w:t>Summary of Follow-up Meeting or Teleconference</w:t>
            </w:r>
          </w:p>
        </w:tc>
        <w:tc>
          <w:tcPr>
            <w:tcW w:w="0" w:type="dxa"/>
            <w:vAlign w:val="center"/>
          </w:tcPr>
          <w:p w14:paraId="5C47BD13" w14:textId="6529F709" w:rsidR="00752A74" w:rsidRDefault="00752A74" w:rsidP="00AD67B9">
            <w:pPr>
              <w:pStyle w:val="BodyTextafterheading"/>
              <w:cnfStyle w:val="100000000000" w:firstRow="1" w:lastRow="0" w:firstColumn="0" w:lastColumn="0" w:oddVBand="0" w:evenVBand="0" w:oddHBand="0" w:evenHBand="0" w:firstRowFirstColumn="0" w:firstRowLastColumn="0" w:lastRowFirstColumn="0" w:lastRowLastColumn="0"/>
            </w:pPr>
            <w:r>
              <w:t>Assessment of Provider Availability, Services, and Capacity</w:t>
            </w:r>
          </w:p>
        </w:tc>
      </w:tr>
      <w:tr w:rsidR="00752A74" w14:paraId="013C0EAB" w14:textId="77777777" w:rsidTr="00752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2C65274" w14:textId="1E5B2AE2" w:rsidR="00752A74" w:rsidRDefault="00F86263" w:rsidP="002E77BD">
            <w:pPr>
              <w:pStyle w:val="BodyTextafterheading"/>
            </w:pPr>
            <w:r>
              <w:t>No providers have expressed interest</w:t>
            </w:r>
            <w:r w:rsidR="002F164D">
              <w:t xml:space="preserve"> to date</w:t>
            </w:r>
          </w:p>
        </w:tc>
        <w:tc>
          <w:tcPr>
            <w:tcW w:w="2337" w:type="dxa"/>
          </w:tcPr>
          <w:p w14:paraId="7D5604ED" w14:textId="77777777" w:rsidR="00752A74" w:rsidRDefault="00752A74"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2338" w:type="dxa"/>
          </w:tcPr>
          <w:p w14:paraId="680801AA" w14:textId="77777777" w:rsidR="00752A74" w:rsidRDefault="00752A74"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2338" w:type="dxa"/>
          </w:tcPr>
          <w:p w14:paraId="1634C37B" w14:textId="77777777" w:rsidR="00752A74" w:rsidRDefault="00752A74"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752A74" w14:paraId="50BA7146" w14:textId="77777777" w:rsidTr="00752A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80B6672" w14:textId="77777777" w:rsidR="00752A74" w:rsidRDefault="00752A74" w:rsidP="002E77BD">
            <w:pPr>
              <w:pStyle w:val="BodyTextafterheading"/>
            </w:pPr>
          </w:p>
        </w:tc>
        <w:tc>
          <w:tcPr>
            <w:tcW w:w="2337" w:type="dxa"/>
          </w:tcPr>
          <w:p w14:paraId="686629AF" w14:textId="77777777" w:rsidR="00752A74" w:rsidRDefault="00752A74"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2338" w:type="dxa"/>
          </w:tcPr>
          <w:p w14:paraId="325A1723" w14:textId="77777777" w:rsidR="00752A74" w:rsidRDefault="00752A74"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2338" w:type="dxa"/>
          </w:tcPr>
          <w:p w14:paraId="45365728" w14:textId="77777777" w:rsidR="00752A74" w:rsidRDefault="00752A74" w:rsidP="002E77BD">
            <w:pPr>
              <w:pStyle w:val="BodyTextafterheading"/>
              <w:cnfStyle w:val="000000010000" w:firstRow="0" w:lastRow="0" w:firstColumn="0" w:lastColumn="0" w:oddVBand="0" w:evenVBand="0" w:oddHBand="0" w:evenHBand="1" w:firstRowFirstColumn="0" w:firstRowLastColumn="0" w:lastRowFirstColumn="0" w:lastRowLastColumn="0"/>
            </w:pPr>
          </w:p>
        </w:tc>
      </w:tr>
      <w:tr w:rsidR="00752A74" w14:paraId="25153693" w14:textId="77777777" w:rsidTr="00752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B9858CF" w14:textId="77777777" w:rsidR="00752A74" w:rsidRDefault="00752A74" w:rsidP="002E77BD">
            <w:pPr>
              <w:pStyle w:val="BodyTextafterheading"/>
            </w:pPr>
          </w:p>
        </w:tc>
        <w:tc>
          <w:tcPr>
            <w:tcW w:w="2337" w:type="dxa"/>
          </w:tcPr>
          <w:p w14:paraId="3E93B087" w14:textId="77777777" w:rsidR="00752A74" w:rsidRDefault="00752A74"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2338" w:type="dxa"/>
          </w:tcPr>
          <w:p w14:paraId="42E7EEC7" w14:textId="77777777" w:rsidR="00752A74" w:rsidRDefault="00752A74"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2338" w:type="dxa"/>
          </w:tcPr>
          <w:p w14:paraId="56C029EC" w14:textId="77777777" w:rsidR="00752A74" w:rsidRDefault="00752A74" w:rsidP="002E77BD">
            <w:pPr>
              <w:pStyle w:val="BodyTextafterheading"/>
              <w:cnfStyle w:val="000000100000" w:firstRow="0" w:lastRow="0" w:firstColumn="0" w:lastColumn="0" w:oddVBand="0" w:evenVBand="0" w:oddHBand="1" w:evenHBand="0" w:firstRowFirstColumn="0" w:firstRowLastColumn="0" w:lastRowFirstColumn="0" w:lastRowLastColumn="0"/>
            </w:pPr>
          </w:p>
        </w:tc>
      </w:tr>
    </w:tbl>
    <w:p w14:paraId="03D4F6AC" w14:textId="77777777" w:rsidR="002E77BD" w:rsidRDefault="002E77BD" w:rsidP="002E77BD">
      <w:pPr>
        <w:pStyle w:val="BodyTextafterheading"/>
      </w:pPr>
    </w:p>
    <w:p w14:paraId="3118A6CE" w14:textId="46059448" w:rsidR="00F22827" w:rsidRDefault="00F22827">
      <w:r>
        <w:br w:type="page"/>
      </w:r>
    </w:p>
    <w:p w14:paraId="1143A0E2" w14:textId="35F58287" w:rsidR="002E77BD" w:rsidRPr="0024184C" w:rsidRDefault="002E77BD" w:rsidP="00E215B3">
      <w:pPr>
        <w:pStyle w:val="Heading2"/>
      </w:pPr>
      <w:r w:rsidRPr="0024184C">
        <w:rPr>
          <w:rStyle w:val="Strong"/>
          <w:b/>
          <w:bCs w:val="0"/>
        </w:rPr>
        <w:lastRenderedPageBreak/>
        <w:t xml:space="preserve">Part II: Required </w:t>
      </w:r>
      <w:r w:rsidR="00B16DD2" w:rsidRPr="0024184C">
        <w:rPr>
          <w:rStyle w:val="Strong"/>
          <w:b/>
          <w:bCs w:val="0"/>
        </w:rPr>
        <w:t xml:space="preserve">only </w:t>
      </w:r>
      <w:r w:rsidRPr="0024184C">
        <w:rPr>
          <w:rStyle w:val="Strong"/>
          <w:b/>
          <w:bCs w:val="0"/>
        </w:rPr>
        <w:t>for LMHAs and LBHAs with potential for network development</w:t>
      </w:r>
    </w:p>
    <w:p w14:paraId="41A3B73A" w14:textId="5E7A303A" w:rsidR="002E77BD" w:rsidRPr="0024184C" w:rsidRDefault="002E77BD" w:rsidP="00E215B3">
      <w:pPr>
        <w:pStyle w:val="Heading3"/>
        <w:rPr>
          <w:rStyle w:val="Strong"/>
          <w:bCs w:val="0"/>
        </w:rPr>
      </w:pPr>
      <w:r w:rsidRPr="0024184C">
        <w:rPr>
          <w:rStyle w:val="Strong"/>
          <w:b/>
          <w:bCs w:val="0"/>
        </w:rPr>
        <w:t>Procurement Plans</w:t>
      </w:r>
    </w:p>
    <w:p w14:paraId="40B91425" w14:textId="5E9E357E" w:rsidR="002E77BD" w:rsidRDefault="00A820FA" w:rsidP="002E77BD">
      <w:pPr>
        <w:pStyle w:val="BodyTextafterheading"/>
      </w:pPr>
      <w:r w:rsidRPr="00A820FA">
        <w:t>If the assessment of provider availability indicates potential for network development, the LMHA or LBHA must initiate procurement</w:t>
      </w:r>
      <w:r w:rsidR="002E77BD">
        <w:t xml:space="preserve">. </w:t>
      </w:r>
    </w:p>
    <w:p w14:paraId="1746B4BF" w14:textId="7830D444" w:rsidR="002E77BD" w:rsidRDefault="00094714" w:rsidP="002E77BD">
      <w:pPr>
        <w:pStyle w:val="BodyTextafterheading"/>
      </w:pPr>
      <w:r>
        <w:t xml:space="preserve">26 </w:t>
      </w:r>
      <w:r w:rsidR="002E77BD">
        <w:t xml:space="preserve">Texas Administrative Code (TAC) Chapter 301, </w:t>
      </w:r>
      <w:r w:rsidR="00E34C90">
        <w:t xml:space="preserve">Local Authority Responsibilities, </w:t>
      </w:r>
      <w:r w:rsidR="002E77BD">
        <w:t>Subchapter F</w:t>
      </w:r>
      <w:r w:rsidR="001D3E0C">
        <w:t>, Provider Network Development</w:t>
      </w:r>
      <w:r w:rsidR="002E77BD">
        <w:t xml:space="preserve"> describes the conditions under which an LMHA or LBHA may continue to provide services when there are available and appropriate external providers. Include plans to procure complete levels of care or specialty services from provider organizations. Do not include procurement for individual practitioners to provide discrete services. </w:t>
      </w:r>
    </w:p>
    <w:p w14:paraId="6416E7AD" w14:textId="165180B4" w:rsidR="002E77BD" w:rsidRDefault="002E77BD" w:rsidP="00DB35DD">
      <w:pPr>
        <w:pStyle w:val="BodyTextafterheading"/>
        <w:numPr>
          <w:ilvl w:val="0"/>
          <w:numId w:val="16"/>
        </w:numPr>
      </w:pPr>
      <w:r>
        <w:t>Complete table</w:t>
      </w:r>
      <w:r w:rsidR="00A820FA">
        <w:t xml:space="preserve"> </w:t>
      </w:r>
      <w:r w:rsidR="005715B3">
        <w:t>9</w:t>
      </w:r>
      <w:r>
        <w:t>, inserting additional rows as need.</w:t>
      </w:r>
    </w:p>
    <w:p w14:paraId="5DC2B907" w14:textId="6F11C00A" w:rsidR="002E77BD" w:rsidRDefault="002E77BD" w:rsidP="00DB35DD">
      <w:pPr>
        <w:pStyle w:val="BodyTextafterheading"/>
        <w:numPr>
          <w:ilvl w:val="1"/>
          <w:numId w:val="16"/>
        </w:numPr>
      </w:pPr>
      <w:r>
        <w:t>Identify the service(s) to be procured. Make a separate entry for each service or combination of services that will be procured as a separate contracting unit. Specify Adult or Child if applicable.</w:t>
      </w:r>
    </w:p>
    <w:p w14:paraId="124131F0" w14:textId="42EFB3E8" w:rsidR="002E77BD" w:rsidRDefault="002E77BD" w:rsidP="00DB35DD">
      <w:pPr>
        <w:pStyle w:val="BodyTextafterheading"/>
        <w:numPr>
          <w:ilvl w:val="1"/>
          <w:numId w:val="16"/>
        </w:numPr>
      </w:pPr>
      <w:r>
        <w:t>State the capacity to be procured, and the percent of total capacity for that service.</w:t>
      </w:r>
    </w:p>
    <w:p w14:paraId="177420AB" w14:textId="77777777" w:rsidR="000967CA" w:rsidRDefault="000967CA" w:rsidP="000967CA">
      <w:pPr>
        <w:pStyle w:val="BodyTextafterheading"/>
        <w:numPr>
          <w:ilvl w:val="1"/>
          <w:numId w:val="16"/>
        </w:numPr>
      </w:pPr>
      <w:r>
        <w:t>State the method of procurement—open enrollment Request for Application (RFA) or request for proposal (RFP).</w:t>
      </w:r>
    </w:p>
    <w:p w14:paraId="6A258958" w14:textId="1CFECC7D" w:rsidR="002E77BD" w:rsidRDefault="002E77BD" w:rsidP="00DB35DD">
      <w:pPr>
        <w:pStyle w:val="BodyTextafterheading"/>
        <w:numPr>
          <w:ilvl w:val="1"/>
          <w:numId w:val="16"/>
        </w:numPr>
      </w:pPr>
      <w:r>
        <w:t>Identify the geographic area for which the service will be procured:  all counties or name selected counties.</w:t>
      </w:r>
    </w:p>
    <w:p w14:paraId="1957A18D" w14:textId="638E5BB8" w:rsidR="002E77BD" w:rsidRDefault="002E77BD" w:rsidP="00DB35DD">
      <w:pPr>
        <w:pStyle w:val="BodyTextafterheading"/>
        <w:numPr>
          <w:ilvl w:val="1"/>
          <w:numId w:val="16"/>
        </w:numPr>
      </w:pPr>
      <w:r>
        <w:t xml:space="preserve">Document the planned </w:t>
      </w:r>
      <w:proofErr w:type="gramStart"/>
      <w:r>
        <w:t>begin</w:t>
      </w:r>
      <w:proofErr w:type="gramEnd"/>
      <w:r>
        <w:t xml:space="preserve"> and end dates for the procurement, and the planned contract start date.</w:t>
      </w:r>
    </w:p>
    <w:p w14:paraId="2D6BEC70" w14:textId="4FD70FDA" w:rsidR="00B72E2D" w:rsidRPr="00B72E2D" w:rsidRDefault="00B72E2D" w:rsidP="00B63753">
      <w:pPr>
        <w:pStyle w:val="BodyText"/>
        <w:spacing w:after="0"/>
        <w:rPr>
          <w:rStyle w:val="Strong"/>
        </w:rPr>
      </w:pPr>
      <w:r w:rsidRPr="00B72E2D">
        <w:rPr>
          <w:rStyle w:val="Strong"/>
        </w:rPr>
        <w:t xml:space="preserve">Table </w:t>
      </w:r>
      <w:r w:rsidR="005715B3">
        <w:rPr>
          <w:rStyle w:val="Strong"/>
        </w:rPr>
        <w:t>9</w:t>
      </w:r>
      <w:r w:rsidRPr="00B72E2D">
        <w:rPr>
          <w:rStyle w:val="Strong"/>
        </w:rPr>
        <w:t>:</w:t>
      </w:r>
      <w:r w:rsidR="001D3E0C">
        <w:rPr>
          <w:rStyle w:val="Strong"/>
        </w:rPr>
        <w:t xml:space="preserve"> </w:t>
      </w:r>
      <w:r w:rsidR="00620600">
        <w:rPr>
          <w:rStyle w:val="Strong"/>
        </w:rPr>
        <w:t>Procurement Plans</w:t>
      </w:r>
    </w:p>
    <w:tbl>
      <w:tblPr>
        <w:tblStyle w:val="HHSTableforTextData"/>
        <w:tblW w:w="0" w:type="auto"/>
        <w:tblLook w:val="04A0" w:firstRow="1" w:lastRow="0" w:firstColumn="1" w:lastColumn="0" w:noHBand="0" w:noVBand="1"/>
      </w:tblPr>
      <w:tblGrid>
        <w:gridCol w:w="1429"/>
        <w:gridCol w:w="1334"/>
        <w:gridCol w:w="1312"/>
        <w:gridCol w:w="1333"/>
        <w:gridCol w:w="1312"/>
        <w:gridCol w:w="1312"/>
        <w:gridCol w:w="1318"/>
      </w:tblGrid>
      <w:tr w:rsidR="004379C5" w14:paraId="308DC6D1" w14:textId="77777777" w:rsidTr="008D09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087AB2D8" w14:textId="49F2C3CB" w:rsidR="004379C5" w:rsidRDefault="004379C5" w:rsidP="002E77BD">
            <w:pPr>
              <w:pStyle w:val="BodyTextafterheading"/>
            </w:pPr>
            <w:r>
              <w:lastRenderedPageBreak/>
              <w:t>Service or Combination of Services to be Procured</w:t>
            </w:r>
          </w:p>
        </w:tc>
        <w:tc>
          <w:tcPr>
            <w:tcW w:w="1335" w:type="dxa"/>
          </w:tcPr>
          <w:p w14:paraId="662BBDD1" w14:textId="05302E8D" w:rsidR="004379C5" w:rsidRDefault="004379C5" w:rsidP="002E77BD">
            <w:pPr>
              <w:pStyle w:val="BodyTextafterheading"/>
              <w:cnfStyle w:val="100000000000" w:firstRow="1" w:lastRow="0" w:firstColumn="0" w:lastColumn="0" w:oddVBand="0" w:evenVBand="0" w:oddHBand="0" w:evenHBand="0" w:firstRowFirstColumn="0" w:firstRowLastColumn="0" w:lastRowFirstColumn="0" w:lastRowLastColumn="0"/>
            </w:pPr>
            <w:r>
              <w:t>Capacity to be Procured</w:t>
            </w:r>
          </w:p>
        </w:tc>
        <w:tc>
          <w:tcPr>
            <w:tcW w:w="1336" w:type="dxa"/>
            <w:vAlign w:val="center"/>
          </w:tcPr>
          <w:p w14:paraId="371DE15B" w14:textId="698829AB" w:rsidR="004379C5" w:rsidRDefault="004379C5" w:rsidP="008D094C">
            <w:pPr>
              <w:pStyle w:val="BodyTextafterheading"/>
              <w:cnfStyle w:val="100000000000" w:firstRow="1" w:lastRow="0" w:firstColumn="0" w:lastColumn="0" w:oddVBand="0" w:evenVBand="0" w:oddHBand="0" w:evenHBand="0" w:firstRowFirstColumn="0" w:firstRowLastColumn="0" w:lastRowFirstColumn="0" w:lastRowLastColumn="0"/>
            </w:pPr>
            <w:r>
              <w:t>Method (RFA or RFP)</w:t>
            </w:r>
          </w:p>
        </w:tc>
        <w:tc>
          <w:tcPr>
            <w:tcW w:w="1336" w:type="dxa"/>
          </w:tcPr>
          <w:p w14:paraId="105B1F27" w14:textId="3E2E3099" w:rsidR="004379C5" w:rsidRDefault="004379C5" w:rsidP="002E77BD">
            <w:pPr>
              <w:pStyle w:val="BodyTextafterheading"/>
              <w:cnfStyle w:val="100000000000" w:firstRow="1" w:lastRow="0" w:firstColumn="0" w:lastColumn="0" w:oddVBand="0" w:evenVBand="0" w:oddHBand="0" w:evenHBand="0" w:firstRowFirstColumn="0" w:firstRowLastColumn="0" w:lastRowFirstColumn="0" w:lastRowLastColumn="0"/>
            </w:pPr>
            <w:r>
              <w:t>Geographic Area(s) in Which Service(s) will be Procured</w:t>
            </w:r>
          </w:p>
        </w:tc>
        <w:tc>
          <w:tcPr>
            <w:tcW w:w="1336" w:type="dxa"/>
          </w:tcPr>
          <w:p w14:paraId="12C6CC66" w14:textId="7D87BE83" w:rsidR="004379C5" w:rsidRDefault="004379C5" w:rsidP="002E77BD">
            <w:pPr>
              <w:pStyle w:val="BodyTextafterheading"/>
              <w:cnfStyle w:val="100000000000" w:firstRow="1" w:lastRow="0" w:firstColumn="0" w:lastColumn="0" w:oddVBand="0" w:evenVBand="0" w:oddHBand="0" w:evenHBand="0" w:firstRowFirstColumn="0" w:firstRowLastColumn="0" w:lastRowFirstColumn="0" w:lastRowLastColumn="0"/>
            </w:pPr>
            <w:r>
              <w:t>Posting Start Date</w:t>
            </w:r>
          </w:p>
        </w:tc>
        <w:tc>
          <w:tcPr>
            <w:tcW w:w="1336" w:type="dxa"/>
          </w:tcPr>
          <w:p w14:paraId="6F9C257E" w14:textId="5A832CBE" w:rsidR="004379C5" w:rsidRDefault="004379C5" w:rsidP="002E77BD">
            <w:pPr>
              <w:pStyle w:val="BodyTextafterheading"/>
              <w:cnfStyle w:val="100000000000" w:firstRow="1" w:lastRow="0" w:firstColumn="0" w:lastColumn="0" w:oddVBand="0" w:evenVBand="0" w:oddHBand="0" w:evenHBand="0" w:firstRowFirstColumn="0" w:firstRowLastColumn="0" w:lastRowFirstColumn="0" w:lastRowLastColumn="0"/>
            </w:pPr>
            <w:r>
              <w:t>Posting End Date</w:t>
            </w:r>
          </w:p>
        </w:tc>
        <w:tc>
          <w:tcPr>
            <w:tcW w:w="1336" w:type="dxa"/>
          </w:tcPr>
          <w:p w14:paraId="545734B4" w14:textId="5E3EEBC7" w:rsidR="004379C5" w:rsidRDefault="004379C5" w:rsidP="002E77BD">
            <w:pPr>
              <w:pStyle w:val="BodyTextafterheading"/>
              <w:cnfStyle w:val="100000000000" w:firstRow="1" w:lastRow="0" w:firstColumn="0" w:lastColumn="0" w:oddVBand="0" w:evenVBand="0" w:oddHBand="0" w:evenHBand="0" w:firstRowFirstColumn="0" w:firstRowLastColumn="0" w:lastRowFirstColumn="0" w:lastRowLastColumn="0"/>
            </w:pPr>
            <w:r>
              <w:t>Contract Start Date</w:t>
            </w:r>
          </w:p>
        </w:tc>
      </w:tr>
      <w:tr w:rsidR="004379C5" w14:paraId="310ECEAF" w14:textId="77777777" w:rsidTr="00437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4A110935" w14:textId="7B9FCF6C" w:rsidR="004379C5" w:rsidRDefault="00A16A5B" w:rsidP="002E77BD">
            <w:pPr>
              <w:pStyle w:val="BodyTextafterheading"/>
            </w:pPr>
            <w:r>
              <w:t xml:space="preserve">Virtual, </w:t>
            </w:r>
            <w:r w:rsidR="003653CA">
              <w:t>O</w:t>
            </w:r>
            <w:r>
              <w:t>n-</w:t>
            </w:r>
            <w:r w:rsidR="003653CA">
              <w:t>D</w:t>
            </w:r>
            <w:r>
              <w:t>emand</w:t>
            </w:r>
            <w:r w:rsidR="002F0DB1">
              <w:t xml:space="preserve"> Licensed Tele-Psychiatry</w:t>
            </w:r>
            <w:r w:rsidR="003653CA">
              <w:t xml:space="preserve"> Services</w:t>
            </w:r>
          </w:p>
        </w:tc>
        <w:tc>
          <w:tcPr>
            <w:tcW w:w="1335" w:type="dxa"/>
          </w:tcPr>
          <w:p w14:paraId="0A9B0276" w14:textId="4BD544AD" w:rsidR="004379C5" w:rsidRDefault="00C92D80" w:rsidP="002E77BD">
            <w:pPr>
              <w:pStyle w:val="BodyTextafterheading"/>
              <w:cnfStyle w:val="000000100000" w:firstRow="0" w:lastRow="0" w:firstColumn="0" w:lastColumn="0" w:oddVBand="0" w:evenVBand="0" w:oddHBand="1" w:evenHBand="0" w:firstRowFirstColumn="0" w:firstRowLastColumn="0" w:lastRowFirstColumn="0" w:lastRowLastColumn="0"/>
            </w:pPr>
            <w:r>
              <w:t>Approx. 125 hours/month</w:t>
            </w:r>
          </w:p>
        </w:tc>
        <w:tc>
          <w:tcPr>
            <w:tcW w:w="1336" w:type="dxa"/>
          </w:tcPr>
          <w:p w14:paraId="77BA11ED" w14:textId="33C06448" w:rsidR="004379C5" w:rsidRDefault="00E45CB6" w:rsidP="002E77BD">
            <w:pPr>
              <w:pStyle w:val="BodyTextafterheading"/>
              <w:cnfStyle w:val="000000100000" w:firstRow="0" w:lastRow="0" w:firstColumn="0" w:lastColumn="0" w:oddVBand="0" w:evenVBand="0" w:oddHBand="1" w:evenHBand="0" w:firstRowFirstColumn="0" w:firstRowLastColumn="0" w:lastRowFirstColumn="0" w:lastRowLastColumn="0"/>
            </w:pPr>
            <w:r>
              <w:t>R</w:t>
            </w:r>
            <w:r w:rsidR="00055CE3">
              <w:t>FP</w:t>
            </w:r>
          </w:p>
        </w:tc>
        <w:tc>
          <w:tcPr>
            <w:tcW w:w="1336" w:type="dxa"/>
          </w:tcPr>
          <w:p w14:paraId="384E9F9E" w14:textId="62AABE23" w:rsidR="004379C5" w:rsidRDefault="002469CE" w:rsidP="002E77BD">
            <w:pPr>
              <w:pStyle w:val="BodyTextafterheading"/>
              <w:cnfStyle w:val="000000100000" w:firstRow="0" w:lastRow="0" w:firstColumn="0" w:lastColumn="0" w:oddVBand="0" w:evenVBand="0" w:oddHBand="1" w:evenHBand="0" w:firstRowFirstColumn="0" w:firstRowLastColumn="0" w:lastRowFirstColumn="0" w:lastRowLastColumn="0"/>
            </w:pPr>
            <w:r>
              <w:t>Williamson and Guadalupe Counties</w:t>
            </w:r>
          </w:p>
        </w:tc>
        <w:tc>
          <w:tcPr>
            <w:tcW w:w="1336" w:type="dxa"/>
          </w:tcPr>
          <w:p w14:paraId="3B4E473E" w14:textId="43669CC3" w:rsidR="004379C5" w:rsidRDefault="00F26E69" w:rsidP="002E77BD">
            <w:pPr>
              <w:pStyle w:val="BodyTextafterheading"/>
              <w:cnfStyle w:val="000000100000" w:firstRow="0" w:lastRow="0" w:firstColumn="0" w:lastColumn="0" w:oddVBand="0" w:evenVBand="0" w:oddHBand="1" w:evenHBand="0" w:firstRowFirstColumn="0" w:firstRowLastColumn="0" w:lastRowFirstColumn="0" w:lastRowLastColumn="0"/>
            </w:pPr>
            <w:r>
              <w:t>May 24, 2024</w:t>
            </w:r>
          </w:p>
        </w:tc>
        <w:tc>
          <w:tcPr>
            <w:tcW w:w="1336" w:type="dxa"/>
          </w:tcPr>
          <w:p w14:paraId="450FDD01" w14:textId="1B4E606B" w:rsidR="004379C5" w:rsidRDefault="00B86E9A" w:rsidP="002E77BD">
            <w:pPr>
              <w:pStyle w:val="BodyTextafterheading"/>
              <w:cnfStyle w:val="000000100000" w:firstRow="0" w:lastRow="0" w:firstColumn="0" w:lastColumn="0" w:oddVBand="0" w:evenVBand="0" w:oddHBand="1" w:evenHBand="0" w:firstRowFirstColumn="0" w:firstRowLastColumn="0" w:lastRowFirstColumn="0" w:lastRowLastColumn="0"/>
            </w:pPr>
            <w:r>
              <w:t>July 10, 2024</w:t>
            </w:r>
          </w:p>
        </w:tc>
        <w:tc>
          <w:tcPr>
            <w:tcW w:w="1336" w:type="dxa"/>
          </w:tcPr>
          <w:p w14:paraId="0C9E5425" w14:textId="0EFA17F0" w:rsidR="004379C5" w:rsidRDefault="009710F7" w:rsidP="002E77BD">
            <w:pPr>
              <w:pStyle w:val="BodyTextafterheading"/>
              <w:cnfStyle w:val="000000100000" w:firstRow="0" w:lastRow="0" w:firstColumn="0" w:lastColumn="0" w:oddVBand="0" w:evenVBand="0" w:oddHBand="1" w:evenHBand="0" w:firstRowFirstColumn="0" w:firstRowLastColumn="0" w:lastRowFirstColumn="0" w:lastRowLastColumn="0"/>
            </w:pPr>
            <w:r>
              <w:t>August</w:t>
            </w:r>
            <w:r w:rsidR="005A49E4">
              <w:t xml:space="preserve"> </w:t>
            </w:r>
            <w:r>
              <w:t>27</w:t>
            </w:r>
            <w:r w:rsidR="005A49E4">
              <w:t>, 2024</w:t>
            </w:r>
          </w:p>
        </w:tc>
      </w:tr>
      <w:tr w:rsidR="004379C5" w14:paraId="6675908D" w14:textId="77777777" w:rsidTr="004379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201BCEBE" w14:textId="77777777" w:rsidR="004379C5" w:rsidRDefault="004379C5" w:rsidP="002E77BD">
            <w:pPr>
              <w:pStyle w:val="BodyTextafterheading"/>
            </w:pPr>
          </w:p>
        </w:tc>
        <w:tc>
          <w:tcPr>
            <w:tcW w:w="1335" w:type="dxa"/>
          </w:tcPr>
          <w:p w14:paraId="65D70738" w14:textId="77777777" w:rsidR="004379C5" w:rsidRDefault="004379C5"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1336" w:type="dxa"/>
          </w:tcPr>
          <w:p w14:paraId="053CD207" w14:textId="77777777" w:rsidR="004379C5" w:rsidRDefault="004379C5"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1336" w:type="dxa"/>
          </w:tcPr>
          <w:p w14:paraId="0952127D" w14:textId="77777777" w:rsidR="004379C5" w:rsidRDefault="004379C5"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1336" w:type="dxa"/>
          </w:tcPr>
          <w:p w14:paraId="2C9C04E0" w14:textId="77777777" w:rsidR="004379C5" w:rsidRDefault="004379C5"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1336" w:type="dxa"/>
          </w:tcPr>
          <w:p w14:paraId="7873D971" w14:textId="77777777" w:rsidR="004379C5" w:rsidRDefault="004379C5"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1336" w:type="dxa"/>
          </w:tcPr>
          <w:p w14:paraId="0F69BC9D" w14:textId="77777777" w:rsidR="004379C5" w:rsidRDefault="004379C5" w:rsidP="002E77BD">
            <w:pPr>
              <w:pStyle w:val="BodyTextafterheading"/>
              <w:cnfStyle w:val="000000010000" w:firstRow="0" w:lastRow="0" w:firstColumn="0" w:lastColumn="0" w:oddVBand="0" w:evenVBand="0" w:oddHBand="0" w:evenHBand="1" w:firstRowFirstColumn="0" w:firstRowLastColumn="0" w:lastRowFirstColumn="0" w:lastRowLastColumn="0"/>
            </w:pPr>
          </w:p>
        </w:tc>
      </w:tr>
      <w:tr w:rsidR="00B63753" w14:paraId="20CFB732" w14:textId="77777777" w:rsidTr="00437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2D25A3A5" w14:textId="77777777" w:rsidR="00B63753" w:rsidRDefault="00B63753" w:rsidP="002E77BD">
            <w:pPr>
              <w:pStyle w:val="BodyTextafterheading"/>
            </w:pPr>
          </w:p>
        </w:tc>
        <w:tc>
          <w:tcPr>
            <w:tcW w:w="1335" w:type="dxa"/>
          </w:tcPr>
          <w:p w14:paraId="1803BBF3" w14:textId="77777777" w:rsidR="00B63753" w:rsidRDefault="00B63753"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6" w:type="dxa"/>
          </w:tcPr>
          <w:p w14:paraId="624E05EF" w14:textId="77777777" w:rsidR="00B63753" w:rsidRDefault="00B63753"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6" w:type="dxa"/>
          </w:tcPr>
          <w:p w14:paraId="6646858D" w14:textId="77777777" w:rsidR="00B63753" w:rsidRDefault="00B63753"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6" w:type="dxa"/>
          </w:tcPr>
          <w:p w14:paraId="3A7E695C" w14:textId="77777777" w:rsidR="00B63753" w:rsidRDefault="00B63753"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6" w:type="dxa"/>
          </w:tcPr>
          <w:p w14:paraId="1E9CC0EC" w14:textId="77777777" w:rsidR="00B63753" w:rsidRDefault="00B63753"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6" w:type="dxa"/>
          </w:tcPr>
          <w:p w14:paraId="7EA1D0AF" w14:textId="77777777" w:rsidR="00B63753" w:rsidRDefault="00B63753" w:rsidP="002E77BD">
            <w:pPr>
              <w:pStyle w:val="BodyTextafterheading"/>
              <w:cnfStyle w:val="000000100000" w:firstRow="0" w:lastRow="0" w:firstColumn="0" w:lastColumn="0" w:oddVBand="0" w:evenVBand="0" w:oddHBand="1" w:evenHBand="0" w:firstRowFirstColumn="0" w:firstRowLastColumn="0" w:lastRowFirstColumn="0" w:lastRowLastColumn="0"/>
            </w:pPr>
          </w:p>
        </w:tc>
      </w:tr>
    </w:tbl>
    <w:p w14:paraId="340B2156" w14:textId="6D715507" w:rsidR="002E77BD" w:rsidRPr="009B4A79" w:rsidRDefault="002E77BD" w:rsidP="000967CA">
      <w:pPr>
        <w:pStyle w:val="Heading3"/>
        <w:rPr>
          <w:rStyle w:val="Strong"/>
          <w:bCs w:val="0"/>
        </w:rPr>
      </w:pPr>
      <w:r w:rsidRPr="009B4A79">
        <w:rPr>
          <w:rStyle w:val="Strong"/>
          <w:b/>
          <w:bCs w:val="0"/>
        </w:rPr>
        <w:t>Rationale for Limitations</w:t>
      </w:r>
    </w:p>
    <w:p w14:paraId="2A0AAFAB" w14:textId="7495016C" w:rsidR="002E77BD" w:rsidRDefault="002E77BD" w:rsidP="002E77BD">
      <w:pPr>
        <w:pStyle w:val="BodyTextafterheading"/>
      </w:pPr>
      <w:r>
        <w:t>Network development includes the addition of new provider organizations, services, or capacity to an LMHA’s or LBHA’s external provider network.</w:t>
      </w:r>
    </w:p>
    <w:p w14:paraId="2211A990" w14:textId="7176AA3A" w:rsidR="002E77BD" w:rsidRDefault="002E77BD" w:rsidP="00DB35DD">
      <w:pPr>
        <w:pStyle w:val="BodyTextafterheading"/>
        <w:numPr>
          <w:ilvl w:val="0"/>
          <w:numId w:val="16"/>
        </w:numPr>
      </w:pPr>
      <w:r>
        <w:t>Complete table</w:t>
      </w:r>
      <w:r w:rsidR="002B3982">
        <w:t xml:space="preserve"> 1</w:t>
      </w:r>
      <w:r w:rsidR="005715B3">
        <w:t>0</w:t>
      </w:r>
      <w:r w:rsidR="002B3982" w:rsidRPr="002B3982">
        <w:t xml:space="preserve"> </w:t>
      </w:r>
      <w:r w:rsidR="002B3982">
        <w:t>based on the LMHA’s or LBHA’s assessment of provider availability</w:t>
      </w:r>
      <w:r>
        <w:t xml:space="preserve">. </w:t>
      </w:r>
      <w:r w:rsidR="00AD67B9">
        <w:t>R</w:t>
      </w:r>
      <w:r>
        <w:t>eview</w:t>
      </w:r>
      <w:r w:rsidR="009B4A79">
        <w:t xml:space="preserve"> </w:t>
      </w:r>
      <w:hyperlink r:id="rId13" w:history="1">
        <w:r w:rsidR="009B4A79" w:rsidRPr="00841ABA">
          <w:rPr>
            <w:rStyle w:val="Hyperlink"/>
            <w:rFonts w:cstheme="minorBidi"/>
          </w:rPr>
          <w:t>26</w:t>
        </w:r>
        <w:r w:rsidRPr="00841ABA">
          <w:rPr>
            <w:rStyle w:val="Hyperlink"/>
            <w:rFonts w:cstheme="minorBidi"/>
          </w:rPr>
          <w:t xml:space="preserve"> TAC </w:t>
        </w:r>
        <w:r w:rsidR="00AD67B9">
          <w:rPr>
            <w:rStyle w:val="Hyperlink"/>
            <w:rFonts w:cstheme="minorBidi"/>
          </w:rPr>
          <w:t xml:space="preserve">Section </w:t>
        </w:r>
        <w:r w:rsidRPr="00841ABA">
          <w:rPr>
            <w:rStyle w:val="Hyperlink"/>
            <w:rFonts w:cstheme="minorBidi"/>
          </w:rPr>
          <w:t>301</w:t>
        </w:r>
        <w:r w:rsidR="003D19E6" w:rsidRPr="00841ABA">
          <w:rPr>
            <w:rStyle w:val="Hyperlink"/>
            <w:rFonts w:cstheme="minorBidi"/>
          </w:rPr>
          <w:t>.</w:t>
        </w:r>
        <w:r w:rsidR="00496A72" w:rsidRPr="00841ABA">
          <w:rPr>
            <w:rStyle w:val="Hyperlink"/>
            <w:rFonts w:cstheme="minorBidi"/>
          </w:rPr>
          <w:t>259</w:t>
        </w:r>
      </w:hyperlink>
      <w:r w:rsidR="00496A72">
        <w:t xml:space="preserve"> </w:t>
      </w:r>
      <w:r>
        <w:t>carefully to be sure the rationale addresses the requirements specified in the rule (See Appendix B).</w:t>
      </w:r>
    </w:p>
    <w:p w14:paraId="1AA2B9FA" w14:textId="26AB6DC0" w:rsidR="002E77BD" w:rsidRDefault="002E77BD" w:rsidP="00DB35DD">
      <w:pPr>
        <w:pStyle w:val="BodyTextafterheading"/>
        <w:numPr>
          <w:ilvl w:val="1"/>
          <w:numId w:val="16"/>
        </w:numPr>
      </w:pPr>
      <w:r>
        <w:t xml:space="preserve">Based on the LMHA’s or LBHA’s assessment of provider availability, respond to each of the following questions. </w:t>
      </w:r>
    </w:p>
    <w:p w14:paraId="6FC57C4A" w14:textId="3D6508DF" w:rsidR="002E77BD" w:rsidRDefault="00AD67B9" w:rsidP="00446B09">
      <w:pPr>
        <w:pStyle w:val="BodyTextafterheading"/>
        <w:numPr>
          <w:ilvl w:val="1"/>
          <w:numId w:val="16"/>
        </w:numPr>
      </w:pPr>
      <w:r>
        <w:t>If “yes” is answered for any restriction identified in table 1</w:t>
      </w:r>
      <w:r w:rsidR="005715B3">
        <w:t>0</w:t>
      </w:r>
      <w:r>
        <w:t>, p</w:t>
      </w:r>
      <w:r w:rsidR="00446B09">
        <w:t>rovide a clear rationale</w:t>
      </w:r>
      <w:r w:rsidR="0069232E">
        <w:t xml:space="preserve">. </w:t>
      </w:r>
    </w:p>
    <w:p w14:paraId="063E263C" w14:textId="0C730B73" w:rsidR="002E77BD" w:rsidRDefault="002E77BD" w:rsidP="00DB35DD">
      <w:pPr>
        <w:pStyle w:val="BodyTextafterheading"/>
        <w:numPr>
          <w:ilvl w:val="1"/>
          <w:numId w:val="16"/>
        </w:numPr>
      </w:pPr>
      <w:r>
        <w:t xml:space="preserve">If the restriction applies to multiple procurements, the rationale must address each of the restricted procurements or state that it is applicable to </w:t>
      </w:r>
      <w:r w:rsidR="00016FC6">
        <w:t>all</w:t>
      </w:r>
      <w:r>
        <w:t xml:space="preserve"> the restricted procurements.</w:t>
      </w:r>
    </w:p>
    <w:p w14:paraId="194D8F4F" w14:textId="2A4F16A5" w:rsidR="002E77BD" w:rsidRDefault="002E77BD" w:rsidP="00DB35DD">
      <w:pPr>
        <w:pStyle w:val="BodyTextafterheading"/>
        <w:numPr>
          <w:ilvl w:val="1"/>
          <w:numId w:val="16"/>
        </w:numPr>
      </w:pPr>
      <w:r>
        <w:t>The rationale must provide a basis for the proposed level of restriction, including the volume of services to be provided by the LMHA or LBHA.</w:t>
      </w:r>
    </w:p>
    <w:p w14:paraId="231C13AD" w14:textId="60D14665" w:rsidR="00B72E2D" w:rsidRPr="00B72E2D" w:rsidRDefault="00B72E2D" w:rsidP="00B63753">
      <w:pPr>
        <w:pStyle w:val="BodyText"/>
        <w:spacing w:after="0"/>
        <w:rPr>
          <w:b/>
          <w:bCs/>
        </w:rPr>
      </w:pPr>
      <w:r w:rsidRPr="00B72E2D">
        <w:rPr>
          <w:rStyle w:val="Strong"/>
        </w:rPr>
        <w:lastRenderedPageBreak/>
        <w:t>Table 1</w:t>
      </w:r>
      <w:r w:rsidR="005715B3">
        <w:rPr>
          <w:rStyle w:val="Strong"/>
        </w:rPr>
        <w:t>0</w:t>
      </w:r>
      <w:r w:rsidRPr="00B72E2D">
        <w:rPr>
          <w:rStyle w:val="Strong"/>
        </w:rPr>
        <w:t>:</w:t>
      </w:r>
      <w:r w:rsidR="00E03808">
        <w:rPr>
          <w:rStyle w:val="Strong"/>
        </w:rPr>
        <w:t xml:space="preserve"> </w:t>
      </w:r>
      <w:r w:rsidR="00EA240A">
        <w:rPr>
          <w:rStyle w:val="Strong"/>
        </w:rPr>
        <w:t>Procurement Limitations</w:t>
      </w:r>
    </w:p>
    <w:tbl>
      <w:tblPr>
        <w:tblStyle w:val="HHSTableforTextData"/>
        <w:tblW w:w="0" w:type="auto"/>
        <w:tblLook w:val="04A0" w:firstRow="1" w:lastRow="0" w:firstColumn="1" w:lastColumn="0" w:noHBand="0" w:noVBand="1"/>
      </w:tblPr>
      <w:tblGrid>
        <w:gridCol w:w="2337"/>
        <w:gridCol w:w="2337"/>
        <w:gridCol w:w="2338"/>
        <w:gridCol w:w="2338"/>
      </w:tblGrid>
      <w:tr w:rsidR="00B72E2D" w14:paraId="6271EE91" w14:textId="77777777" w:rsidTr="008D09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E6AD225" w14:textId="77777777" w:rsidR="00B72E2D" w:rsidRDefault="00B72E2D" w:rsidP="002E77BD">
            <w:pPr>
              <w:pStyle w:val="BodyTextafterheading"/>
            </w:pPr>
          </w:p>
        </w:tc>
        <w:tc>
          <w:tcPr>
            <w:tcW w:w="2337" w:type="dxa"/>
          </w:tcPr>
          <w:p w14:paraId="430CC95B" w14:textId="5FD29B38" w:rsidR="00B72E2D" w:rsidRDefault="00B72E2D" w:rsidP="002E77BD">
            <w:pPr>
              <w:pStyle w:val="BodyTextafterheading"/>
              <w:cnfStyle w:val="100000000000" w:firstRow="1" w:lastRow="0" w:firstColumn="0" w:lastColumn="0" w:oddVBand="0" w:evenVBand="0" w:oddHBand="0" w:evenHBand="0" w:firstRowFirstColumn="0" w:firstRowLastColumn="0" w:lastRowFirstColumn="0" w:lastRowLastColumn="0"/>
            </w:pPr>
            <w:r>
              <w:t>Yes</w:t>
            </w:r>
          </w:p>
        </w:tc>
        <w:tc>
          <w:tcPr>
            <w:tcW w:w="2338" w:type="dxa"/>
            <w:vAlign w:val="center"/>
          </w:tcPr>
          <w:p w14:paraId="5C9581D2" w14:textId="79F197C9" w:rsidR="00B72E2D" w:rsidRDefault="00B72E2D" w:rsidP="008D094C">
            <w:pPr>
              <w:pStyle w:val="BodyTextafterheading"/>
              <w:cnfStyle w:val="100000000000" w:firstRow="1" w:lastRow="0" w:firstColumn="0" w:lastColumn="0" w:oddVBand="0" w:evenVBand="0" w:oddHBand="0" w:evenHBand="0" w:firstRowFirstColumn="0" w:firstRowLastColumn="0" w:lastRowFirstColumn="0" w:lastRowLastColumn="0"/>
            </w:pPr>
            <w:r>
              <w:t>No</w:t>
            </w:r>
          </w:p>
        </w:tc>
        <w:tc>
          <w:tcPr>
            <w:tcW w:w="2338" w:type="dxa"/>
          </w:tcPr>
          <w:p w14:paraId="6EA2465A" w14:textId="423557A3" w:rsidR="00B72E2D" w:rsidRDefault="00B72E2D" w:rsidP="002E77BD">
            <w:pPr>
              <w:pStyle w:val="BodyTextafterheading"/>
              <w:cnfStyle w:val="100000000000" w:firstRow="1" w:lastRow="0" w:firstColumn="0" w:lastColumn="0" w:oddVBand="0" w:evenVBand="0" w:oddHBand="0" w:evenHBand="0" w:firstRowFirstColumn="0" w:firstRowLastColumn="0" w:lastRowFirstColumn="0" w:lastRowLastColumn="0"/>
            </w:pPr>
            <w:r>
              <w:t>Rationale</w:t>
            </w:r>
          </w:p>
        </w:tc>
      </w:tr>
      <w:tr w:rsidR="00B72E2D" w14:paraId="133A225A" w14:textId="77777777" w:rsidTr="008D0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7DA24E4" w14:textId="3EF0D139" w:rsidR="00B72E2D" w:rsidRDefault="00B72E2D" w:rsidP="001B6264">
            <w:pPr>
              <w:pStyle w:val="BodyTextafterheading"/>
              <w:numPr>
                <w:ilvl w:val="0"/>
                <w:numId w:val="26"/>
              </w:numPr>
            </w:pPr>
            <w:r>
              <w:t>Are there any services with potential for network development that are not scheduled for procurement?</w:t>
            </w:r>
          </w:p>
        </w:tc>
        <w:tc>
          <w:tcPr>
            <w:tcW w:w="2337" w:type="dxa"/>
          </w:tcPr>
          <w:p w14:paraId="16C60E1B" w14:textId="77777777" w:rsidR="00B72E2D" w:rsidRDefault="00B72E2D"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2338" w:type="dxa"/>
            <w:vAlign w:val="center"/>
          </w:tcPr>
          <w:p w14:paraId="4717DC07" w14:textId="2CA56DA7" w:rsidR="00B72E2D" w:rsidRDefault="008D094C" w:rsidP="008D094C">
            <w:pPr>
              <w:pStyle w:val="BodyTextafterheading"/>
              <w:jc w:val="center"/>
              <w:cnfStyle w:val="000000100000" w:firstRow="0" w:lastRow="0" w:firstColumn="0" w:lastColumn="0" w:oddVBand="0" w:evenVBand="0" w:oddHBand="1" w:evenHBand="0" w:firstRowFirstColumn="0" w:firstRowLastColumn="0" w:lastRowFirstColumn="0" w:lastRowLastColumn="0"/>
            </w:pPr>
            <w:r>
              <w:t>X</w:t>
            </w:r>
          </w:p>
        </w:tc>
        <w:tc>
          <w:tcPr>
            <w:tcW w:w="2338" w:type="dxa"/>
          </w:tcPr>
          <w:p w14:paraId="7960D78D" w14:textId="77777777" w:rsidR="00B72E2D" w:rsidRDefault="00B72E2D"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B72E2D" w14:paraId="4959D5D8" w14:textId="77777777" w:rsidTr="008D09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844A05A" w14:textId="4E18E6BC" w:rsidR="00B72E2D" w:rsidRDefault="00B72E2D" w:rsidP="001B6264">
            <w:pPr>
              <w:pStyle w:val="BodyTextafterheading"/>
              <w:numPr>
                <w:ilvl w:val="0"/>
                <w:numId w:val="26"/>
              </w:numPr>
            </w:pPr>
            <w:r>
              <w:t>Are any limitations being placed on percentage of total capacity or volume of services external providers will be able to provide for any service?</w:t>
            </w:r>
          </w:p>
        </w:tc>
        <w:tc>
          <w:tcPr>
            <w:tcW w:w="2337" w:type="dxa"/>
          </w:tcPr>
          <w:p w14:paraId="3BC86560" w14:textId="77777777" w:rsidR="00B72E2D" w:rsidRDefault="00B72E2D"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2338" w:type="dxa"/>
            <w:vAlign w:val="center"/>
          </w:tcPr>
          <w:p w14:paraId="11E5F50F" w14:textId="07C365C6" w:rsidR="00B72E2D" w:rsidRDefault="008D094C" w:rsidP="008D094C">
            <w:pPr>
              <w:pStyle w:val="BodyTextafterheading"/>
              <w:jc w:val="center"/>
              <w:cnfStyle w:val="000000010000" w:firstRow="0" w:lastRow="0" w:firstColumn="0" w:lastColumn="0" w:oddVBand="0" w:evenVBand="0" w:oddHBand="0" w:evenHBand="1" w:firstRowFirstColumn="0" w:firstRowLastColumn="0" w:lastRowFirstColumn="0" w:lastRowLastColumn="0"/>
            </w:pPr>
            <w:r w:rsidRPr="008D094C">
              <w:t>X</w:t>
            </w:r>
          </w:p>
        </w:tc>
        <w:tc>
          <w:tcPr>
            <w:tcW w:w="2338" w:type="dxa"/>
          </w:tcPr>
          <w:p w14:paraId="3DF70A7B" w14:textId="77777777" w:rsidR="00B72E2D" w:rsidRDefault="00B72E2D" w:rsidP="002E77BD">
            <w:pPr>
              <w:pStyle w:val="BodyTextafterheading"/>
              <w:cnfStyle w:val="000000010000" w:firstRow="0" w:lastRow="0" w:firstColumn="0" w:lastColumn="0" w:oddVBand="0" w:evenVBand="0" w:oddHBand="0" w:evenHBand="1" w:firstRowFirstColumn="0" w:firstRowLastColumn="0" w:lastRowFirstColumn="0" w:lastRowLastColumn="0"/>
            </w:pPr>
          </w:p>
        </w:tc>
      </w:tr>
      <w:tr w:rsidR="00B72E2D" w14:paraId="2CA858E2" w14:textId="77777777" w:rsidTr="008D0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66D8C0C" w14:textId="2244F821" w:rsidR="00B72E2D" w:rsidRDefault="00B72E2D" w:rsidP="001B6264">
            <w:pPr>
              <w:pStyle w:val="BodyTextafterheading"/>
              <w:numPr>
                <w:ilvl w:val="0"/>
                <w:numId w:val="26"/>
              </w:numPr>
            </w:pPr>
            <w:r>
              <w:t>Are any of the procurements limited to certain counties within the local service area?</w:t>
            </w:r>
          </w:p>
        </w:tc>
        <w:tc>
          <w:tcPr>
            <w:tcW w:w="2337" w:type="dxa"/>
          </w:tcPr>
          <w:p w14:paraId="03A27444" w14:textId="77777777" w:rsidR="00B72E2D" w:rsidRDefault="00B72E2D"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2338" w:type="dxa"/>
            <w:vAlign w:val="center"/>
          </w:tcPr>
          <w:p w14:paraId="0A530842" w14:textId="7091E168" w:rsidR="00B72E2D" w:rsidRDefault="008D094C" w:rsidP="008D094C">
            <w:pPr>
              <w:pStyle w:val="BodyTextafterheading"/>
              <w:jc w:val="center"/>
              <w:cnfStyle w:val="000000100000" w:firstRow="0" w:lastRow="0" w:firstColumn="0" w:lastColumn="0" w:oddVBand="0" w:evenVBand="0" w:oddHBand="1" w:evenHBand="0" w:firstRowFirstColumn="0" w:firstRowLastColumn="0" w:lastRowFirstColumn="0" w:lastRowLastColumn="0"/>
            </w:pPr>
            <w:r w:rsidRPr="008D094C">
              <w:t>X</w:t>
            </w:r>
          </w:p>
        </w:tc>
        <w:tc>
          <w:tcPr>
            <w:tcW w:w="2338" w:type="dxa"/>
          </w:tcPr>
          <w:p w14:paraId="2E707E41" w14:textId="77777777" w:rsidR="00B72E2D" w:rsidRDefault="00B72E2D"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B72E2D" w14:paraId="1255B841" w14:textId="77777777" w:rsidTr="008D09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166A4B3" w14:textId="695EDD4B" w:rsidR="00B72E2D" w:rsidRDefault="00B72E2D" w:rsidP="001B6264">
            <w:pPr>
              <w:pStyle w:val="BodyTextafterheading"/>
              <w:numPr>
                <w:ilvl w:val="0"/>
                <w:numId w:val="26"/>
              </w:numPr>
            </w:pPr>
            <w:r>
              <w:t>Is there a limitation on the number of providers that will be accepted for any of the procurements?</w:t>
            </w:r>
          </w:p>
        </w:tc>
        <w:tc>
          <w:tcPr>
            <w:tcW w:w="2337" w:type="dxa"/>
          </w:tcPr>
          <w:p w14:paraId="69C9559F" w14:textId="77777777" w:rsidR="00B72E2D" w:rsidRDefault="00B72E2D"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2338" w:type="dxa"/>
            <w:vAlign w:val="center"/>
          </w:tcPr>
          <w:p w14:paraId="6BE6927F" w14:textId="39E50E09" w:rsidR="00B72E2D" w:rsidRDefault="008D094C" w:rsidP="008D094C">
            <w:pPr>
              <w:pStyle w:val="BodyTextafterheading"/>
              <w:jc w:val="center"/>
              <w:cnfStyle w:val="000000010000" w:firstRow="0" w:lastRow="0" w:firstColumn="0" w:lastColumn="0" w:oddVBand="0" w:evenVBand="0" w:oddHBand="0" w:evenHBand="1" w:firstRowFirstColumn="0" w:firstRowLastColumn="0" w:lastRowFirstColumn="0" w:lastRowLastColumn="0"/>
            </w:pPr>
            <w:r w:rsidRPr="008D094C">
              <w:t>X</w:t>
            </w:r>
          </w:p>
        </w:tc>
        <w:tc>
          <w:tcPr>
            <w:tcW w:w="2338" w:type="dxa"/>
          </w:tcPr>
          <w:p w14:paraId="078EF4E5" w14:textId="77777777" w:rsidR="00B72E2D" w:rsidRDefault="00B72E2D" w:rsidP="002E77BD">
            <w:pPr>
              <w:pStyle w:val="BodyTextafterheading"/>
              <w:cnfStyle w:val="000000010000" w:firstRow="0" w:lastRow="0" w:firstColumn="0" w:lastColumn="0" w:oddVBand="0" w:evenVBand="0" w:oddHBand="0" w:evenHBand="1" w:firstRowFirstColumn="0" w:firstRowLastColumn="0" w:lastRowFirstColumn="0" w:lastRowLastColumn="0"/>
            </w:pPr>
          </w:p>
        </w:tc>
      </w:tr>
    </w:tbl>
    <w:p w14:paraId="5F6AB262" w14:textId="6C11184B" w:rsidR="002E77BD" w:rsidRDefault="00A10C89" w:rsidP="00DB35DD">
      <w:pPr>
        <w:pStyle w:val="BodyTextafterheading"/>
        <w:numPr>
          <w:ilvl w:val="0"/>
          <w:numId w:val="16"/>
        </w:numPr>
      </w:pPr>
      <w:r>
        <w:t>Complete table 1</w:t>
      </w:r>
      <w:r w:rsidR="005715B3">
        <w:t>1</w:t>
      </w:r>
      <w:r>
        <w:t xml:space="preserve"> i</w:t>
      </w:r>
      <w:r w:rsidR="002E77BD">
        <w:t>f the LMHA or LBHA will not be procuring all available capacity offered by external contractors for one or more services</w:t>
      </w:r>
      <w:r>
        <w:t xml:space="preserve"> and </w:t>
      </w:r>
      <w:r w:rsidR="002E77BD">
        <w:t>identify the planned transition period and the year in which the LMHA or LBHA anticipates procuring the full external provider capacity currently available (not to exceed the LMHA’s or LBHA’s capacity).</w:t>
      </w:r>
    </w:p>
    <w:p w14:paraId="31DD6B81" w14:textId="5FD70CCB" w:rsidR="000E2404" w:rsidRPr="000E2404" w:rsidRDefault="000E2404" w:rsidP="00B63753">
      <w:pPr>
        <w:pStyle w:val="BodyText"/>
        <w:spacing w:after="0"/>
        <w:rPr>
          <w:b/>
          <w:bCs/>
        </w:rPr>
      </w:pPr>
      <w:r w:rsidRPr="00B72E2D">
        <w:rPr>
          <w:rStyle w:val="Strong"/>
        </w:rPr>
        <w:t>Table 1</w:t>
      </w:r>
      <w:r w:rsidR="005715B3">
        <w:rPr>
          <w:rStyle w:val="Strong"/>
        </w:rPr>
        <w:t>1</w:t>
      </w:r>
      <w:r w:rsidRPr="00B72E2D">
        <w:rPr>
          <w:rStyle w:val="Strong"/>
        </w:rPr>
        <w:t>:</w:t>
      </w:r>
      <w:r w:rsidR="008E5F06">
        <w:rPr>
          <w:rStyle w:val="Strong"/>
        </w:rPr>
        <w:t xml:space="preserve"> </w:t>
      </w:r>
      <w:r w:rsidR="007419EF">
        <w:rPr>
          <w:rStyle w:val="Strong"/>
        </w:rPr>
        <w:t xml:space="preserve">Procurement Transitions </w:t>
      </w:r>
    </w:p>
    <w:tbl>
      <w:tblPr>
        <w:tblStyle w:val="HHSTableforTextData"/>
        <w:tblW w:w="0" w:type="auto"/>
        <w:tblLook w:val="04A0" w:firstRow="1" w:lastRow="0" w:firstColumn="1" w:lastColumn="0" w:noHBand="0" w:noVBand="1"/>
      </w:tblPr>
      <w:tblGrid>
        <w:gridCol w:w="3116"/>
        <w:gridCol w:w="3117"/>
        <w:gridCol w:w="3117"/>
      </w:tblGrid>
      <w:tr w:rsidR="000E2404" w14:paraId="6FC2F60F" w14:textId="77777777" w:rsidTr="000E24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2A474DF" w14:textId="7778170F" w:rsidR="000E2404" w:rsidRDefault="000E2404" w:rsidP="002E77BD">
            <w:pPr>
              <w:pStyle w:val="BodyTextafterheading"/>
            </w:pPr>
            <w:r>
              <w:lastRenderedPageBreak/>
              <w:t>Service</w:t>
            </w:r>
          </w:p>
        </w:tc>
        <w:tc>
          <w:tcPr>
            <w:tcW w:w="3117" w:type="dxa"/>
          </w:tcPr>
          <w:p w14:paraId="3A2477E9" w14:textId="6E1AEED8" w:rsidR="000E2404" w:rsidRDefault="000E2404" w:rsidP="002E77BD">
            <w:pPr>
              <w:pStyle w:val="BodyTextafterheading"/>
              <w:cnfStyle w:val="100000000000" w:firstRow="1" w:lastRow="0" w:firstColumn="0" w:lastColumn="0" w:oddVBand="0" w:evenVBand="0" w:oddHBand="0" w:evenHBand="0" w:firstRowFirstColumn="0" w:firstRowLastColumn="0" w:lastRowFirstColumn="0" w:lastRowLastColumn="0"/>
            </w:pPr>
            <w:r>
              <w:t>Transition Period</w:t>
            </w:r>
          </w:p>
        </w:tc>
        <w:tc>
          <w:tcPr>
            <w:tcW w:w="3117" w:type="dxa"/>
          </w:tcPr>
          <w:p w14:paraId="24190AE0" w14:textId="2B3DF40A" w:rsidR="000E2404" w:rsidRDefault="000E2404" w:rsidP="002E77BD">
            <w:pPr>
              <w:pStyle w:val="BodyTextafterheading"/>
              <w:cnfStyle w:val="100000000000" w:firstRow="1" w:lastRow="0" w:firstColumn="0" w:lastColumn="0" w:oddVBand="0" w:evenVBand="0" w:oddHBand="0" w:evenHBand="0" w:firstRowFirstColumn="0" w:firstRowLastColumn="0" w:lastRowFirstColumn="0" w:lastRowLastColumn="0"/>
            </w:pPr>
            <w:r>
              <w:t>Year of Full Procurement</w:t>
            </w:r>
          </w:p>
        </w:tc>
      </w:tr>
      <w:tr w:rsidR="000E2404" w14:paraId="3165AE79" w14:textId="77777777" w:rsidTr="000E2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566909E" w14:textId="042EB4BF" w:rsidR="000E2404" w:rsidRDefault="00B725ED" w:rsidP="002E77BD">
            <w:pPr>
              <w:pStyle w:val="BodyTextafterheading"/>
            </w:pPr>
            <w:r>
              <w:t>N/A</w:t>
            </w:r>
          </w:p>
        </w:tc>
        <w:tc>
          <w:tcPr>
            <w:tcW w:w="3117" w:type="dxa"/>
          </w:tcPr>
          <w:p w14:paraId="6AC6B7EA" w14:textId="77777777" w:rsidR="000E2404" w:rsidRDefault="000E2404"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3117" w:type="dxa"/>
          </w:tcPr>
          <w:p w14:paraId="648A86E3" w14:textId="77777777" w:rsidR="000E2404" w:rsidRDefault="000E2404"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0E2404" w14:paraId="1EEEDCA4" w14:textId="77777777" w:rsidTr="000E24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4E3230A" w14:textId="77777777" w:rsidR="000E2404" w:rsidRDefault="000E2404" w:rsidP="002E77BD">
            <w:pPr>
              <w:pStyle w:val="BodyTextafterheading"/>
            </w:pPr>
          </w:p>
        </w:tc>
        <w:tc>
          <w:tcPr>
            <w:tcW w:w="3117" w:type="dxa"/>
          </w:tcPr>
          <w:p w14:paraId="38C3EA42" w14:textId="77777777" w:rsidR="000E2404" w:rsidRDefault="000E2404"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3117" w:type="dxa"/>
          </w:tcPr>
          <w:p w14:paraId="4EFEC596" w14:textId="77777777" w:rsidR="000E2404" w:rsidRDefault="000E2404" w:rsidP="002E77BD">
            <w:pPr>
              <w:pStyle w:val="BodyTextafterheading"/>
              <w:cnfStyle w:val="000000010000" w:firstRow="0" w:lastRow="0" w:firstColumn="0" w:lastColumn="0" w:oddVBand="0" w:evenVBand="0" w:oddHBand="0" w:evenHBand="1" w:firstRowFirstColumn="0" w:firstRowLastColumn="0" w:lastRowFirstColumn="0" w:lastRowLastColumn="0"/>
            </w:pPr>
          </w:p>
        </w:tc>
      </w:tr>
      <w:tr w:rsidR="000E2404" w14:paraId="4BE1254A" w14:textId="77777777" w:rsidTr="000E2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C934E8D" w14:textId="77777777" w:rsidR="000E2404" w:rsidRDefault="000E2404" w:rsidP="002E77BD">
            <w:pPr>
              <w:pStyle w:val="BodyTextafterheading"/>
            </w:pPr>
          </w:p>
        </w:tc>
        <w:tc>
          <w:tcPr>
            <w:tcW w:w="3117" w:type="dxa"/>
          </w:tcPr>
          <w:p w14:paraId="4A39624B" w14:textId="77777777" w:rsidR="000E2404" w:rsidRDefault="000E2404"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3117" w:type="dxa"/>
          </w:tcPr>
          <w:p w14:paraId="167CC6BE" w14:textId="77777777" w:rsidR="000E2404" w:rsidRDefault="000E2404" w:rsidP="002E77BD">
            <w:pPr>
              <w:pStyle w:val="BodyTextafterheading"/>
              <w:cnfStyle w:val="000000100000" w:firstRow="0" w:lastRow="0" w:firstColumn="0" w:lastColumn="0" w:oddVBand="0" w:evenVBand="0" w:oddHBand="1" w:evenHBand="0" w:firstRowFirstColumn="0" w:firstRowLastColumn="0" w:lastRowFirstColumn="0" w:lastRowLastColumn="0"/>
            </w:pPr>
          </w:p>
        </w:tc>
      </w:tr>
    </w:tbl>
    <w:p w14:paraId="07FD364D" w14:textId="33CF3800" w:rsidR="000E2404" w:rsidRDefault="000E2404">
      <w:pPr>
        <w:rPr>
          <w:rStyle w:val="Strong"/>
        </w:rPr>
      </w:pPr>
    </w:p>
    <w:p w14:paraId="6FD20A84" w14:textId="6BB99315" w:rsidR="002E77BD" w:rsidRPr="000967CA" w:rsidRDefault="002E77BD" w:rsidP="00D37E78">
      <w:pPr>
        <w:pStyle w:val="Heading3"/>
        <w:rPr>
          <w:rStyle w:val="Strong"/>
          <w:bCs w:val="0"/>
        </w:rPr>
      </w:pPr>
      <w:r w:rsidRPr="000967CA">
        <w:rPr>
          <w:rStyle w:val="Strong"/>
          <w:b/>
          <w:bCs w:val="0"/>
        </w:rPr>
        <w:t>Capacity Development</w:t>
      </w:r>
    </w:p>
    <w:p w14:paraId="67EA6176" w14:textId="716B1BDC" w:rsidR="002E77BD" w:rsidRDefault="002E77BD" w:rsidP="00DB35DD">
      <w:pPr>
        <w:pStyle w:val="BodyTextafterheading"/>
        <w:numPr>
          <w:ilvl w:val="0"/>
          <w:numId w:val="16"/>
        </w:numPr>
      </w:pPr>
      <w:r>
        <w:t xml:space="preserve">In table </w:t>
      </w:r>
      <w:r w:rsidR="00A10C89">
        <w:t>1</w:t>
      </w:r>
      <w:r w:rsidR="005715B3">
        <w:t>2</w:t>
      </w:r>
      <w:r>
        <w:t xml:space="preserve">, document </w:t>
      </w:r>
      <w:r w:rsidR="00A10C89">
        <w:t>the LMHA’s or LBHA’s</w:t>
      </w:r>
      <w:r>
        <w:t xml:space="preserve"> procurement activity since the submission of </w:t>
      </w:r>
      <w:r w:rsidR="00A10C89">
        <w:t>the fiscal year</w:t>
      </w:r>
      <w:r w:rsidR="00016FC6">
        <w:t xml:space="preserve"> </w:t>
      </w:r>
      <w:r>
        <w:t>202</w:t>
      </w:r>
      <w:r w:rsidR="00016FC6">
        <w:t>3</w:t>
      </w:r>
      <w:r>
        <w:t xml:space="preserve"> LPND p</w:t>
      </w:r>
      <w:r w:rsidR="00895D36">
        <w:t>lan</w:t>
      </w:r>
      <w:r>
        <w:t xml:space="preserve">. Include procurements implemented as part of the LPND plan and any other procurements for </w:t>
      </w:r>
      <w:r w:rsidR="00446D4D">
        <w:t xml:space="preserve">full </w:t>
      </w:r>
      <w:r w:rsidR="008E5F06">
        <w:t>LOCs</w:t>
      </w:r>
      <w:r>
        <w:t xml:space="preserve"> and specialty services that have been conducted.</w:t>
      </w:r>
    </w:p>
    <w:p w14:paraId="25A9E148" w14:textId="75772F39" w:rsidR="002E77BD" w:rsidRDefault="002E77BD" w:rsidP="00DB35DD">
      <w:pPr>
        <w:pStyle w:val="BodyTextafterheading"/>
        <w:numPr>
          <w:ilvl w:val="1"/>
          <w:numId w:val="16"/>
        </w:numPr>
      </w:pPr>
      <w:r>
        <w:t>List each service separately, including the percent of capacity offered and the geographic area in which the service was procured.</w:t>
      </w:r>
    </w:p>
    <w:p w14:paraId="013452D7" w14:textId="0FE67EB6" w:rsidR="002E77BD" w:rsidRDefault="002E77BD" w:rsidP="00DB35DD">
      <w:pPr>
        <w:pStyle w:val="BodyTextafterheading"/>
        <w:numPr>
          <w:ilvl w:val="1"/>
          <w:numId w:val="16"/>
        </w:numPr>
      </w:pPr>
      <w:r>
        <w:t xml:space="preserve">State the results, including the number of providers obtained and the percent of service capacity contracted </w:t>
      </w:r>
      <w:r w:rsidR="00A57166">
        <w:t>because of</w:t>
      </w:r>
      <w:r>
        <w:t xml:space="preserve"> the procurement. If no providers were obtained </w:t>
      </w:r>
      <w:r w:rsidR="00A57166">
        <w:t>because of</w:t>
      </w:r>
      <w:r>
        <w:t xml:space="preserve"> procurement efforts, state “none.”</w:t>
      </w:r>
    </w:p>
    <w:p w14:paraId="5836F933" w14:textId="596911F2" w:rsidR="00485ACF" w:rsidRPr="00485ACF" w:rsidRDefault="00485ACF" w:rsidP="00B63753">
      <w:pPr>
        <w:pStyle w:val="BodyText"/>
        <w:spacing w:after="0"/>
        <w:rPr>
          <w:b/>
          <w:bCs/>
        </w:rPr>
      </w:pPr>
      <w:r w:rsidRPr="00B72E2D">
        <w:rPr>
          <w:rStyle w:val="Strong"/>
        </w:rPr>
        <w:t>Table 1</w:t>
      </w:r>
      <w:r w:rsidR="005715B3">
        <w:rPr>
          <w:rStyle w:val="Strong"/>
        </w:rPr>
        <w:t>2</w:t>
      </w:r>
      <w:r w:rsidRPr="00B72E2D">
        <w:rPr>
          <w:rStyle w:val="Strong"/>
        </w:rPr>
        <w:t>:</w:t>
      </w:r>
      <w:r w:rsidR="000B1F34">
        <w:rPr>
          <w:rStyle w:val="Strong"/>
        </w:rPr>
        <w:t xml:space="preserve"> </w:t>
      </w:r>
      <w:r w:rsidR="00124226">
        <w:rPr>
          <w:rStyle w:val="Strong"/>
        </w:rPr>
        <w:t>Procurement Activities</w:t>
      </w:r>
    </w:p>
    <w:tbl>
      <w:tblPr>
        <w:tblStyle w:val="HHSTableforTextData"/>
        <w:tblW w:w="9625" w:type="dxa"/>
        <w:tblLook w:val="04A0" w:firstRow="1" w:lastRow="0" w:firstColumn="1" w:lastColumn="0" w:noHBand="0" w:noVBand="1"/>
      </w:tblPr>
      <w:tblGrid>
        <w:gridCol w:w="1345"/>
        <w:gridCol w:w="4888"/>
        <w:gridCol w:w="3392"/>
      </w:tblGrid>
      <w:tr w:rsidR="00521CD8" w14:paraId="0E914E14" w14:textId="77777777" w:rsidTr="00877E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63F4EAD9" w14:textId="7DF90877" w:rsidR="00521CD8" w:rsidRDefault="00485ACF" w:rsidP="005E6F74">
            <w:pPr>
              <w:pStyle w:val="BodyTextafterheading"/>
            </w:pPr>
            <w:r>
              <w:t>Year</w:t>
            </w:r>
          </w:p>
        </w:tc>
        <w:tc>
          <w:tcPr>
            <w:tcW w:w="4888" w:type="dxa"/>
            <w:vAlign w:val="center"/>
          </w:tcPr>
          <w:p w14:paraId="45E27EB8" w14:textId="5E36E46E" w:rsidR="00521CD8" w:rsidRDefault="00485ACF" w:rsidP="005E6F74">
            <w:pPr>
              <w:pStyle w:val="BodyTextafterheading"/>
              <w:cnfStyle w:val="100000000000" w:firstRow="1" w:lastRow="0" w:firstColumn="0" w:lastColumn="0" w:oddVBand="0" w:evenVBand="0" w:oddHBand="0" w:evenHBand="0" w:firstRowFirstColumn="0" w:firstRowLastColumn="0" w:lastRowFirstColumn="0" w:lastRowLastColumn="0"/>
            </w:pPr>
            <w:r>
              <w:t xml:space="preserve">Procurement (Service, </w:t>
            </w:r>
            <w:r w:rsidR="000B1F34">
              <w:t xml:space="preserve">% </w:t>
            </w:r>
            <w:r>
              <w:t>of Capacity, Geographic Area)</w:t>
            </w:r>
          </w:p>
        </w:tc>
        <w:tc>
          <w:tcPr>
            <w:tcW w:w="3392" w:type="dxa"/>
            <w:vAlign w:val="center"/>
          </w:tcPr>
          <w:p w14:paraId="1D24244D" w14:textId="01458562" w:rsidR="00521CD8" w:rsidRDefault="00485ACF" w:rsidP="005E6F74">
            <w:pPr>
              <w:pStyle w:val="BodyTextafterheading"/>
              <w:cnfStyle w:val="100000000000" w:firstRow="1" w:lastRow="0" w:firstColumn="0" w:lastColumn="0" w:oddVBand="0" w:evenVBand="0" w:oddHBand="0" w:evenHBand="0" w:firstRowFirstColumn="0" w:firstRowLastColumn="0" w:lastRowFirstColumn="0" w:lastRowLastColumn="0"/>
            </w:pPr>
            <w:r>
              <w:t>Results (Providers and Capacity)</w:t>
            </w:r>
          </w:p>
        </w:tc>
      </w:tr>
      <w:tr w:rsidR="00877E4D" w:rsidRPr="00B00C3B" w14:paraId="7A2231A6" w14:textId="77777777" w:rsidTr="00877E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32A8A56B" w14:textId="77777777" w:rsidR="00877E4D" w:rsidRPr="00B00C3B" w:rsidRDefault="00877E4D">
            <w:pPr>
              <w:spacing w:before="60" w:after="60" w:line="276" w:lineRule="auto"/>
              <w:rPr>
                <w:rFonts w:ascii="Verdana" w:hAnsi="Verdana"/>
              </w:rPr>
            </w:pPr>
            <w:r>
              <w:rPr>
                <w:rFonts w:ascii="Verdana" w:hAnsi="Verdana"/>
              </w:rPr>
              <w:t>FY2024</w:t>
            </w:r>
          </w:p>
        </w:tc>
        <w:tc>
          <w:tcPr>
            <w:tcW w:w="4888" w:type="dxa"/>
          </w:tcPr>
          <w:p w14:paraId="0ADEBBD0" w14:textId="1D8B9DB1" w:rsidR="00877E4D" w:rsidRPr="002E5DB1" w:rsidRDefault="00877E4D">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Verdana" w:hAnsi="Verdana"/>
              </w:rPr>
            </w:pPr>
            <w:r w:rsidRPr="1DD5CD15">
              <w:rPr>
                <w:rFonts w:ascii="Verdana" w:hAnsi="Verdana"/>
              </w:rPr>
              <w:t>Telepsychiatry</w:t>
            </w:r>
            <w:r w:rsidR="003A642A">
              <w:rPr>
                <w:rFonts w:ascii="Verdana" w:hAnsi="Verdana"/>
              </w:rPr>
              <w:t xml:space="preserve"> for Williamson &amp; Guadalupe Counti</w:t>
            </w:r>
            <w:r w:rsidR="00261952">
              <w:rPr>
                <w:rFonts w:ascii="Verdana" w:hAnsi="Verdana"/>
              </w:rPr>
              <w:t xml:space="preserve">es (100% capacity for </w:t>
            </w:r>
            <w:r w:rsidR="005A49E4">
              <w:rPr>
                <w:rFonts w:ascii="Verdana" w:hAnsi="Verdana"/>
              </w:rPr>
              <w:t>after-hour</w:t>
            </w:r>
            <w:r w:rsidR="00261952">
              <w:rPr>
                <w:rFonts w:ascii="Verdana" w:hAnsi="Verdana"/>
              </w:rPr>
              <w:t xml:space="preserve"> crisis</w:t>
            </w:r>
            <w:r w:rsidR="005A49E4">
              <w:rPr>
                <w:rFonts w:ascii="Verdana" w:hAnsi="Verdana"/>
              </w:rPr>
              <w:t xml:space="preserve"> </w:t>
            </w:r>
            <w:r w:rsidR="00261952">
              <w:rPr>
                <w:rFonts w:ascii="Verdana" w:hAnsi="Verdana"/>
              </w:rPr>
              <w:t xml:space="preserve">residential </w:t>
            </w:r>
            <w:r w:rsidR="005A49E4">
              <w:rPr>
                <w:rFonts w:ascii="Verdana" w:hAnsi="Verdana"/>
              </w:rPr>
              <w:t>on-demand psychiatry</w:t>
            </w:r>
            <w:r w:rsidR="00261952">
              <w:rPr>
                <w:rFonts w:ascii="Verdana" w:hAnsi="Verdana"/>
              </w:rPr>
              <w:t>)</w:t>
            </w:r>
          </w:p>
        </w:tc>
        <w:tc>
          <w:tcPr>
            <w:tcW w:w="3392" w:type="dxa"/>
          </w:tcPr>
          <w:p w14:paraId="1DD7C80C" w14:textId="77777777" w:rsidR="00877E4D" w:rsidRPr="00B00C3B" w:rsidRDefault="00877E4D">
            <w:pPr>
              <w:spacing w:before="60" w:after="60" w:line="276" w:lineRule="auto"/>
              <w:ind w:right="1332"/>
              <w:cnfStyle w:val="000000100000" w:firstRow="0" w:lastRow="0" w:firstColumn="0" w:lastColumn="0" w:oddVBand="0" w:evenVBand="0" w:oddHBand="1" w:evenHBand="0" w:firstRowFirstColumn="0" w:firstRowLastColumn="0" w:lastRowFirstColumn="0" w:lastRowLastColumn="0"/>
              <w:rPr>
                <w:rFonts w:ascii="Verdana" w:hAnsi="Verdana"/>
              </w:rPr>
            </w:pPr>
            <w:r w:rsidRPr="1DD5CD15">
              <w:rPr>
                <w:rFonts w:ascii="Verdana" w:hAnsi="Verdana"/>
              </w:rPr>
              <w:t>Avail Telemedicine</w:t>
            </w:r>
          </w:p>
        </w:tc>
      </w:tr>
      <w:tr w:rsidR="00521CD8" w14:paraId="2D41194B" w14:textId="77777777" w:rsidTr="00877E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66E50DAD" w14:textId="77777777" w:rsidR="00521CD8" w:rsidRDefault="00521CD8" w:rsidP="002E77BD">
            <w:pPr>
              <w:pStyle w:val="BodyTextafterheading"/>
            </w:pPr>
          </w:p>
        </w:tc>
        <w:tc>
          <w:tcPr>
            <w:tcW w:w="4888" w:type="dxa"/>
          </w:tcPr>
          <w:p w14:paraId="7C4AA586" w14:textId="77777777" w:rsidR="00521CD8" w:rsidRDefault="00521CD8"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3392" w:type="dxa"/>
          </w:tcPr>
          <w:p w14:paraId="56BD0A4D" w14:textId="77777777" w:rsidR="00521CD8" w:rsidRDefault="00521CD8" w:rsidP="002E77BD">
            <w:pPr>
              <w:pStyle w:val="BodyTextafterheading"/>
              <w:cnfStyle w:val="000000010000" w:firstRow="0" w:lastRow="0" w:firstColumn="0" w:lastColumn="0" w:oddVBand="0" w:evenVBand="0" w:oddHBand="0" w:evenHBand="1" w:firstRowFirstColumn="0" w:firstRowLastColumn="0" w:lastRowFirstColumn="0" w:lastRowLastColumn="0"/>
            </w:pPr>
          </w:p>
        </w:tc>
      </w:tr>
      <w:tr w:rsidR="00521CD8" w14:paraId="191B7974" w14:textId="77777777" w:rsidTr="00877E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35742C9C" w14:textId="77777777" w:rsidR="00521CD8" w:rsidRDefault="00521CD8" w:rsidP="002E77BD">
            <w:pPr>
              <w:pStyle w:val="BodyTextafterheading"/>
            </w:pPr>
          </w:p>
        </w:tc>
        <w:tc>
          <w:tcPr>
            <w:tcW w:w="4888" w:type="dxa"/>
          </w:tcPr>
          <w:p w14:paraId="44E038C2" w14:textId="77777777" w:rsidR="00521CD8" w:rsidRDefault="00521CD8"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3392" w:type="dxa"/>
          </w:tcPr>
          <w:p w14:paraId="68EE4D61" w14:textId="77777777" w:rsidR="00521CD8" w:rsidRDefault="00521CD8" w:rsidP="002E77BD">
            <w:pPr>
              <w:pStyle w:val="BodyTextafterheading"/>
              <w:cnfStyle w:val="000000100000" w:firstRow="0" w:lastRow="0" w:firstColumn="0" w:lastColumn="0" w:oddVBand="0" w:evenVBand="0" w:oddHBand="1" w:evenHBand="0" w:firstRowFirstColumn="0" w:firstRowLastColumn="0" w:lastRowFirstColumn="0" w:lastRowLastColumn="0"/>
            </w:pPr>
          </w:p>
        </w:tc>
      </w:tr>
    </w:tbl>
    <w:p w14:paraId="4F5AA0C0" w14:textId="77777777" w:rsidR="002E77BD" w:rsidRDefault="002E77BD" w:rsidP="002E77BD">
      <w:pPr>
        <w:pStyle w:val="BodyTextafterheading"/>
      </w:pPr>
    </w:p>
    <w:p w14:paraId="259EFB0B" w14:textId="51037382" w:rsidR="00F22827" w:rsidRDefault="00F22827">
      <w:r>
        <w:br w:type="page"/>
      </w:r>
    </w:p>
    <w:p w14:paraId="5F11A35F" w14:textId="7D2AF70B" w:rsidR="002E77BD" w:rsidRPr="000B1F34" w:rsidRDefault="002E77BD" w:rsidP="007B7CA4">
      <w:pPr>
        <w:pStyle w:val="Heading2"/>
        <w:rPr>
          <w:rStyle w:val="Strong"/>
          <w:bCs w:val="0"/>
        </w:rPr>
      </w:pPr>
      <w:r w:rsidRPr="000B1F34">
        <w:rPr>
          <w:rStyle w:val="Strong"/>
          <w:b/>
          <w:bCs w:val="0"/>
        </w:rPr>
        <w:lastRenderedPageBreak/>
        <w:t>PART III</w:t>
      </w:r>
      <w:r w:rsidR="00A10C89" w:rsidRPr="000B1F34">
        <w:rPr>
          <w:rStyle w:val="Strong"/>
          <w:b/>
          <w:bCs w:val="0"/>
        </w:rPr>
        <w:t xml:space="preserve">: </w:t>
      </w:r>
      <w:r w:rsidRPr="000B1F34">
        <w:rPr>
          <w:rStyle w:val="Strong"/>
          <w:b/>
          <w:bCs w:val="0"/>
        </w:rPr>
        <w:t>Required for all LMHAs and LBHAs</w:t>
      </w:r>
    </w:p>
    <w:p w14:paraId="42B54D33" w14:textId="77777777" w:rsidR="002E77BD" w:rsidRPr="00485ACF" w:rsidRDefault="002E77BD" w:rsidP="007B7CA4">
      <w:pPr>
        <w:pStyle w:val="Heading3"/>
      </w:pPr>
      <w:r w:rsidRPr="00485ACF">
        <w:t>PNAC Involvement</w:t>
      </w:r>
    </w:p>
    <w:p w14:paraId="405F87A0" w14:textId="6949DB81" w:rsidR="002E77BD" w:rsidRDefault="00DA2675" w:rsidP="00DB35DD">
      <w:pPr>
        <w:pStyle w:val="BodyTextafterheading"/>
        <w:numPr>
          <w:ilvl w:val="0"/>
          <w:numId w:val="16"/>
        </w:numPr>
      </w:pPr>
      <w:r>
        <w:t>Complete table 1</w:t>
      </w:r>
      <w:r w:rsidR="005715B3">
        <w:t>3</w:t>
      </w:r>
      <w:r>
        <w:t xml:space="preserve"> to s</w:t>
      </w:r>
      <w:r w:rsidR="002E77BD">
        <w:t xml:space="preserve">how </w:t>
      </w:r>
      <w:r w:rsidR="005E6F74">
        <w:t>PNAC</w:t>
      </w:r>
      <w:r w:rsidR="002E77BD">
        <w:t xml:space="preserve"> involvement. PNAC activities should include input into the development of the plan and review of the draft plan. Briefly document the activity and the committee’s recommendations.</w:t>
      </w:r>
      <w:r w:rsidR="00222BE1">
        <w:t xml:space="preserve"> Add additional lines as needed.</w:t>
      </w:r>
    </w:p>
    <w:p w14:paraId="37FFE587" w14:textId="7A965953" w:rsidR="008E6A3A" w:rsidRPr="008E6A3A" w:rsidRDefault="008E6A3A" w:rsidP="00B63753">
      <w:pPr>
        <w:pStyle w:val="BodyText"/>
        <w:spacing w:after="0"/>
        <w:rPr>
          <w:rStyle w:val="Strong"/>
        </w:rPr>
      </w:pPr>
      <w:r w:rsidRPr="008E6A3A">
        <w:rPr>
          <w:rStyle w:val="Strong"/>
        </w:rPr>
        <w:t>Table 1</w:t>
      </w:r>
      <w:r w:rsidR="005715B3">
        <w:rPr>
          <w:rStyle w:val="Strong"/>
        </w:rPr>
        <w:t>3</w:t>
      </w:r>
      <w:r w:rsidRPr="008E6A3A">
        <w:rPr>
          <w:rStyle w:val="Strong"/>
        </w:rPr>
        <w:t>:</w:t>
      </w:r>
      <w:r w:rsidR="004C051B">
        <w:rPr>
          <w:rStyle w:val="Strong"/>
        </w:rPr>
        <w:t xml:space="preserve"> </w:t>
      </w:r>
      <w:r w:rsidR="00654295">
        <w:rPr>
          <w:rStyle w:val="Strong"/>
        </w:rPr>
        <w:t>PNAC Involvement</w:t>
      </w:r>
    </w:p>
    <w:tbl>
      <w:tblPr>
        <w:tblStyle w:val="HHSTableforTextData"/>
        <w:tblW w:w="0" w:type="auto"/>
        <w:tblLook w:val="04A0" w:firstRow="1" w:lastRow="0" w:firstColumn="1" w:lastColumn="0" w:noHBand="0" w:noVBand="1"/>
      </w:tblPr>
      <w:tblGrid>
        <w:gridCol w:w="4675"/>
        <w:gridCol w:w="4675"/>
      </w:tblGrid>
      <w:tr w:rsidR="00485ACF" w14:paraId="6AB7A3D8" w14:textId="77777777" w:rsidTr="00485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2DC7F5E" w14:textId="1528A6FF" w:rsidR="00485ACF" w:rsidRDefault="00485ACF" w:rsidP="002E77BD">
            <w:pPr>
              <w:pStyle w:val="BodyTextafterheading"/>
            </w:pPr>
            <w:r>
              <w:t>Date</w:t>
            </w:r>
          </w:p>
        </w:tc>
        <w:tc>
          <w:tcPr>
            <w:tcW w:w="4675" w:type="dxa"/>
          </w:tcPr>
          <w:p w14:paraId="500F0174" w14:textId="1F4170D0" w:rsidR="00485ACF" w:rsidRDefault="00485ACF" w:rsidP="002E77BD">
            <w:pPr>
              <w:pStyle w:val="BodyTextafterheading"/>
              <w:cnfStyle w:val="100000000000" w:firstRow="1" w:lastRow="0" w:firstColumn="0" w:lastColumn="0" w:oddVBand="0" w:evenVBand="0" w:oddHBand="0" w:evenHBand="0" w:firstRowFirstColumn="0" w:firstRowLastColumn="0" w:lastRowFirstColumn="0" w:lastRowLastColumn="0"/>
            </w:pPr>
            <w:r>
              <w:t>PNAC Activity and Recommendations</w:t>
            </w:r>
          </w:p>
        </w:tc>
      </w:tr>
      <w:tr w:rsidR="00485ACF" w14:paraId="1461BDE8" w14:textId="77777777" w:rsidTr="00485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215741B" w14:textId="4B8A4F0F" w:rsidR="00485ACF" w:rsidRDefault="00ED1AC2" w:rsidP="002E77BD">
            <w:pPr>
              <w:pStyle w:val="BodyTextafterheading"/>
            </w:pPr>
            <w:r>
              <w:t xml:space="preserve">November </w:t>
            </w:r>
            <w:r w:rsidR="003A642A">
              <w:t>27</w:t>
            </w:r>
            <w:r>
              <w:t>, 2024</w:t>
            </w:r>
          </w:p>
        </w:tc>
        <w:tc>
          <w:tcPr>
            <w:tcW w:w="4675" w:type="dxa"/>
          </w:tcPr>
          <w:p w14:paraId="2C13F319" w14:textId="5E89B69F" w:rsidR="00485ACF" w:rsidRDefault="00261952" w:rsidP="002E77BD">
            <w:pPr>
              <w:pStyle w:val="BodyTextafterheading"/>
              <w:cnfStyle w:val="000000100000" w:firstRow="0" w:lastRow="0" w:firstColumn="0" w:lastColumn="0" w:oddVBand="0" w:evenVBand="0" w:oddHBand="1" w:evenHBand="0" w:firstRowFirstColumn="0" w:firstRowLastColumn="0" w:lastRowFirstColumn="0" w:lastRowLastColumn="0"/>
            </w:pPr>
            <w:r>
              <w:t>BTCS</w:t>
            </w:r>
            <w:r w:rsidR="00447BF4" w:rsidRPr="00447BF4">
              <w:t xml:space="preserve"> posted </w:t>
            </w:r>
            <w:r>
              <w:t xml:space="preserve">its LPND </w:t>
            </w:r>
            <w:r w:rsidR="00447BF4" w:rsidRPr="00447BF4">
              <w:t>on</w:t>
            </w:r>
            <w:r>
              <w:t xml:space="preserve"> </w:t>
            </w:r>
            <w:hyperlink r:id="rId14" w:history="1">
              <w:r w:rsidRPr="00733B53">
                <w:rPr>
                  <w:rStyle w:val="Hyperlink"/>
                  <w:rFonts w:cstheme="minorBidi"/>
                </w:rPr>
                <w:t>www.bbtrails.org</w:t>
              </w:r>
            </w:hyperlink>
            <w:r>
              <w:t xml:space="preserve"> for public comment</w:t>
            </w:r>
            <w:r w:rsidR="00E84477">
              <w:t>.</w:t>
            </w:r>
          </w:p>
        </w:tc>
      </w:tr>
      <w:tr w:rsidR="00680CCA" w14:paraId="671A97A4" w14:textId="77777777" w:rsidTr="00485A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CC49565" w14:textId="0A12861C" w:rsidR="00680CCA" w:rsidRDefault="00A97690" w:rsidP="002E77BD">
            <w:pPr>
              <w:pStyle w:val="BodyTextafterheading"/>
            </w:pPr>
            <w:r>
              <w:t xml:space="preserve">November </w:t>
            </w:r>
            <w:r w:rsidR="00497365">
              <w:t>27</w:t>
            </w:r>
            <w:r w:rsidR="00FD499D">
              <w:t>, 202</w:t>
            </w:r>
            <w:r w:rsidR="003A642A">
              <w:t>4</w:t>
            </w:r>
          </w:p>
        </w:tc>
        <w:tc>
          <w:tcPr>
            <w:tcW w:w="4675" w:type="dxa"/>
          </w:tcPr>
          <w:p w14:paraId="6CA3E87B" w14:textId="642FD663" w:rsidR="00680CCA" w:rsidRDefault="003A642A" w:rsidP="002E77BD">
            <w:pPr>
              <w:pStyle w:val="BodyTextafterheading"/>
              <w:cnfStyle w:val="000000010000" w:firstRow="0" w:lastRow="0" w:firstColumn="0" w:lastColumn="0" w:oddVBand="0" w:evenVBand="0" w:oddHBand="0" w:evenHBand="1" w:firstRowFirstColumn="0" w:firstRowLastColumn="0" w:lastRowFirstColumn="0" w:lastRowLastColumn="0"/>
            </w:pPr>
            <w:r>
              <w:t>BTCS submitted its LPND</w:t>
            </w:r>
            <w:r w:rsidR="00447BF4">
              <w:t xml:space="preserve"> </w:t>
            </w:r>
            <w:r w:rsidR="00ED1AC2">
              <w:t xml:space="preserve">to </w:t>
            </w:r>
            <w:r w:rsidR="00261952">
              <w:t>the</w:t>
            </w:r>
            <w:r>
              <w:t xml:space="preserve"> </w:t>
            </w:r>
            <w:r w:rsidR="00261952">
              <w:t xml:space="preserve">Regional </w:t>
            </w:r>
            <w:r w:rsidR="00ED1AC2">
              <w:t>PNAC</w:t>
            </w:r>
            <w:r w:rsidR="00261952">
              <w:t xml:space="preserve"> (RPNAC)</w:t>
            </w:r>
            <w:r w:rsidR="00ED1AC2">
              <w:t xml:space="preserve"> </w:t>
            </w:r>
            <w:r w:rsidR="00261952">
              <w:t>in advance of the next scheduled meeting</w:t>
            </w:r>
            <w:r w:rsidR="00E84477">
              <w:t>.</w:t>
            </w:r>
          </w:p>
        </w:tc>
      </w:tr>
      <w:tr w:rsidR="00485ACF" w14:paraId="7934BF27" w14:textId="77777777" w:rsidTr="00485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4BF2D20" w14:textId="743812A4" w:rsidR="00485ACF" w:rsidRDefault="00F8071E" w:rsidP="002E77BD">
            <w:pPr>
              <w:pStyle w:val="BodyTextafterheading"/>
            </w:pPr>
            <w:r>
              <w:t>December 11, 2024</w:t>
            </w:r>
          </w:p>
        </w:tc>
        <w:tc>
          <w:tcPr>
            <w:tcW w:w="4675" w:type="dxa"/>
          </w:tcPr>
          <w:p w14:paraId="3532CED0" w14:textId="1A4091FF" w:rsidR="00485ACF" w:rsidRDefault="006578CF" w:rsidP="002E77BD">
            <w:pPr>
              <w:pStyle w:val="BodyTextafterheading"/>
              <w:cnfStyle w:val="000000100000" w:firstRow="0" w:lastRow="0" w:firstColumn="0" w:lastColumn="0" w:oddVBand="0" w:evenVBand="0" w:oddHBand="1" w:evenHBand="0" w:firstRowFirstColumn="0" w:firstRowLastColumn="0" w:lastRowFirstColumn="0" w:lastRowLastColumn="0"/>
            </w:pPr>
            <w:r w:rsidRPr="00893F4B">
              <w:rPr>
                <w:rFonts w:ascii="Verdana" w:hAnsi="Verdana"/>
              </w:rPr>
              <w:t xml:space="preserve">BTCS </w:t>
            </w:r>
            <w:r w:rsidR="00E84477">
              <w:rPr>
                <w:rFonts w:ascii="Verdana" w:hAnsi="Verdana"/>
              </w:rPr>
              <w:t xml:space="preserve">is scheduled to </w:t>
            </w:r>
            <w:r w:rsidRPr="00893F4B">
              <w:rPr>
                <w:rFonts w:ascii="Verdana" w:hAnsi="Verdana"/>
              </w:rPr>
              <w:t xml:space="preserve">present its </w:t>
            </w:r>
            <w:r w:rsidR="00261952">
              <w:rPr>
                <w:rFonts w:ascii="Verdana" w:hAnsi="Verdana"/>
              </w:rPr>
              <w:t>LPND</w:t>
            </w:r>
            <w:r w:rsidRPr="00893F4B">
              <w:rPr>
                <w:rFonts w:ascii="Verdana" w:hAnsi="Verdana"/>
              </w:rPr>
              <w:t xml:space="preserve"> to the RPNAC for </w:t>
            </w:r>
            <w:r w:rsidR="00261952">
              <w:rPr>
                <w:rFonts w:ascii="Verdana" w:hAnsi="Verdana"/>
              </w:rPr>
              <w:t>feedback</w:t>
            </w:r>
            <w:r w:rsidR="00E84477">
              <w:rPr>
                <w:rFonts w:ascii="Verdana" w:hAnsi="Verdana"/>
              </w:rPr>
              <w:t>.</w:t>
            </w:r>
          </w:p>
        </w:tc>
      </w:tr>
      <w:tr w:rsidR="00485ACF" w14:paraId="4E23C01D" w14:textId="77777777" w:rsidTr="00485A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79620D8" w14:textId="69EC4B67" w:rsidR="00485ACF" w:rsidRDefault="00E84477" w:rsidP="002E77BD">
            <w:pPr>
              <w:pStyle w:val="BodyTextafterheading"/>
            </w:pPr>
            <w:r>
              <w:t>TBD</w:t>
            </w:r>
          </w:p>
        </w:tc>
        <w:tc>
          <w:tcPr>
            <w:tcW w:w="4675" w:type="dxa"/>
          </w:tcPr>
          <w:p w14:paraId="5576EB0A" w14:textId="05530F97" w:rsidR="00485ACF" w:rsidRDefault="003A642A" w:rsidP="002E77BD">
            <w:pPr>
              <w:pStyle w:val="BodyTextafterheading"/>
              <w:cnfStyle w:val="000000010000" w:firstRow="0" w:lastRow="0" w:firstColumn="0" w:lastColumn="0" w:oddVBand="0" w:evenVBand="0" w:oddHBand="0" w:evenHBand="1" w:firstRowFirstColumn="0" w:firstRowLastColumn="0" w:lastRowFirstColumn="0" w:lastRowLastColumn="0"/>
            </w:pPr>
            <w:r>
              <w:rPr>
                <w:rFonts w:ascii="Verdana" w:hAnsi="Verdana"/>
              </w:rPr>
              <w:t xml:space="preserve">BTCS </w:t>
            </w:r>
            <w:r w:rsidR="00E84477">
              <w:rPr>
                <w:rFonts w:ascii="Verdana" w:hAnsi="Verdana"/>
              </w:rPr>
              <w:t>plans to receive</w:t>
            </w:r>
            <w:r>
              <w:rPr>
                <w:rFonts w:ascii="Verdana" w:hAnsi="Verdana"/>
              </w:rPr>
              <w:t xml:space="preserve"> the </w:t>
            </w:r>
            <w:r w:rsidRPr="00893F4B">
              <w:rPr>
                <w:rFonts w:ascii="Verdana" w:hAnsi="Verdana"/>
              </w:rPr>
              <w:t xml:space="preserve">RPNAC’s </w:t>
            </w:r>
            <w:r>
              <w:rPr>
                <w:rFonts w:ascii="Verdana" w:hAnsi="Verdana"/>
              </w:rPr>
              <w:t xml:space="preserve">written </w:t>
            </w:r>
            <w:r w:rsidRPr="00893F4B">
              <w:rPr>
                <w:rFonts w:ascii="Verdana" w:hAnsi="Verdana"/>
              </w:rPr>
              <w:t>evaluation summar</w:t>
            </w:r>
            <w:r>
              <w:rPr>
                <w:rFonts w:ascii="Verdana" w:hAnsi="Verdana"/>
              </w:rPr>
              <w:t xml:space="preserve">y. </w:t>
            </w:r>
            <w:r w:rsidR="00E84477">
              <w:rPr>
                <w:rFonts w:ascii="Verdana" w:hAnsi="Verdana"/>
              </w:rPr>
              <w:t xml:space="preserve">When available, the </w:t>
            </w:r>
            <w:r w:rsidRPr="00893F4B">
              <w:rPr>
                <w:rFonts w:ascii="Verdana" w:hAnsi="Verdana"/>
              </w:rPr>
              <w:t xml:space="preserve">document </w:t>
            </w:r>
            <w:r w:rsidR="00E84477">
              <w:rPr>
                <w:rFonts w:ascii="Verdana" w:hAnsi="Verdana"/>
              </w:rPr>
              <w:t xml:space="preserve">will be </w:t>
            </w:r>
            <w:r w:rsidRPr="00893F4B">
              <w:rPr>
                <w:rFonts w:ascii="Verdana" w:hAnsi="Verdana"/>
              </w:rPr>
              <w:t>titled, “RPNAC 202</w:t>
            </w:r>
            <w:r>
              <w:rPr>
                <w:rFonts w:ascii="Verdana" w:hAnsi="Verdana"/>
              </w:rPr>
              <w:t>4</w:t>
            </w:r>
            <w:r w:rsidRPr="00893F4B">
              <w:rPr>
                <w:rFonts w:ascii="Verdana" w:hAnsi="Verdana"/>
              </w:rPr>
              <w:t xml:space="preserve"> LPND Review.”</w:t>
            </w:r>
            <w:r w:rsidRPr="009B346F">
              <w:rPr>
                <w:color w:val="000000"/>
                <w:sz w:val="27"/>
                <w:szCs w:val="27"/>
              </w:rPr>
              <w:t xml:space="preserve"> </w:t>
            </w:r>
            <w:r>
              <w:t xml:space="preserve"> </w:t>
            </w:r>
          </w:p>
        </w:tc>
      </w:tr>
    </w:tbl>
    <w:p w14:paraId="230294AC" w14:textId="0B2A8CDF" w:rsidR="002E77BD" w:rsidRPr="004C051B" w:rsidRDefault="002E77BD" w:rsidP="000967CA">
      <w:pPr>
        <w:pStyle w:val="Heading3"/>
        <w:rPr>
          <w:rStyle w:val="Strong"/>
          <w:bCs w:val="0"/>
        </w:rPr>
      </w:pPr>
      <w:r w:rsidRPr="004C051B">
        <w:rPr>
          <w:rStyle w:val="Strong"/>
          <w:b/>
          <w:bCs w:val="0"/>
        </w:rPr>
        <w:t>Stakeholder Comments on Draft Plan and LMHA or</w:t>
      </w:r>
      <w:r w:rsidR="00F01599" w:rsidRPr="004C051B">
        <w:rPr>
          <w:rStyle w:val="Strong"/>
          <w:b/>
          <w:bCs w:val="0"/>
        </w:rPr>
        <w:t xml:space="preserve"> </w:t>
      </w:r>
      <w:r w:rsidRPr="004C051B">
        <w:rPr>
          <w:rStyle w:val="Strong"/>
          <w:b/>
          <w:bCs w:val="0"/>
        </w:rPr>
        <w:t>LBHA Response</w:t>
      </w:r>
    </w:p>
    <w:p w14:paraId="350E4CF2" w14:textId="26286ABB" w:rsidR="002E77BD" w:rsidRDefault="002E77BD" w:rsidP="002E77BD">
      <w:pPr>
        <w:pStyle w:val="BodyTextafterheading"/>
      </w:pPr>
      <w:r>
        <w:t xml:space="preserve">Allow at least 30 days for public comment on draft plan. Do not post plans for public comment before </w:t>
      </w:r>
      <w:r w:rsidR="00BE3C9C">
        <w:t>September</w:t>
      </w:r>
      <w:r>
        <w:t xml:space="preserve"> 1, 2024.</w:t>
      </w:r>
    </w:p>
    <w:p w14:paraId="7906131D" w14:textId="037B41F0" w:rsidR="00DB0D37" w:rsidRDefault="002E77BD" w:rsidP="00DB0D37">
      <w:pPr>
        <w:pStyle w:val="BodyTextafterheading"/>
      </w:pPr>
      <w:r>
        <w:t>In table</w:t>
      </w:r>
      <w:r w:rsidR="00DB0D37">
        <w:t xml:space="preserve"> 1</w:t>
      </w:r>
      <w:r w:rsidR="005715B3">
        <w:t>4</w:t>
      </w:r>
      <w:r>
        <w:t xml:space="preserve">, summarize the public comments received on the </w:t>
      </w:r>
      <w:r w:rsidR="00DB0D37">
        <w:t xml:space="preserve">LMHA’s or LBHA’s </w:t>
      </w:r>
      <w:r>
        <w:t>draft plan. If no comments were received, state “</w:t>
      </w:r>
      <w:r w:rsidR="00DB0D37">
        <w:t>n</w:t>
      </w:r>
      <w:r>
        <w:t>one</w:t>
      </w:r>
      <w:r w:rsidR="00DB0D37">
        <w:t xml:space="preserve">”. </w:t>
      </w:r>
      <w:r>
        <w:t xml:space="preserve">Use a separate line for each major point identified during the public comment period and identify the stakeholder group(s) offering the comment. </w:t>
      </w:r>
      <w:r w:rsidR="00222BE1">
        <w:t xml:space="preserve">Add additional lines as needed. </w:t>
      </w:r>
      <w:r>
        <w:t>Describe the LMHA’s or</w:t>
      </w:r>
      <w:r w:rsidR="00DB0D37">
        <w:t xml:space="preserve"> </w:t>
      </w:r>
      <w:r>
        <w:t>LBHA’s response, which might include:</w:t>
      </w:r>
    </w:p>
    <w:p w14:paraId="0BFD514A" w14:textId="77777777" w:rsidR="00DB0D37" w:rsidRDefault="002E77BD" w:rsidP="00DB0D37">
      <w:pPr>
        <w:pStyle w:val="BodyTextafterheading"/>
        <w:numPr>
          <w:ilvl w:val="0"/>
          <w:numId w:val="23"/>
        </w:numPr>
      </w:pPr>
      <w:r>
        <w:lastRenderedPageBreak/>
        <w:t>Accepting the comment in full and making corresponding modifications to the plan;</w:t>
      </w:r>
    </w:p>
    <w:p w14:paraId="0F076577" w14:textId="77777777" w:rsidR="00DB0D37" w:rsidRDefault="002E77BD" w:rsidP="00DB0D37">
      <w:pPr>
        <w:pStyle w:val="BodyTextafterheading"/>
        <w:numPr>
          <w:ilvl w:val="0"/>
          <w:numId w:val="23"/>
        </w:numPr>
      </w:pPr>
      <w:r>
        <w:t>Accepting the comment in part and making corresponding modifications to the plan; or</w:t>
      </w:r>
    </w:p>
    <w:p w14:paraId="234B2BD6" w14:textId="4CAF2694" w:rsidR="002E77BD" w:rsidRDefault="002E77BD" w:rsidP="00DB0D37">
      <w:pPr>
        <w:pStyle w:val="BodyTextafterheading"/>
        <w:numPr>
          <w:ilvl w:val="0"/>
          <w:numId w:val="23"/>
        </w:numPr>
      </w:pPr>
      <w:r>
        <w:t xml:space="preserve">Rejecting the comment. Please </w:t>
      </w:r>
      <w:r w:rsidR="00DB0D37">
        <w:t>provide explanation for</w:t>
      </w:r>
      <w:r>
        <w:t xml:space="preserve"> the LMHA’s or LBHA’s rationale for rejecting comment.</w:t>
      </w:r>
    </w:p>
    <w:p w14:paraId="08E1B749" w14:textId="548B0A30" w:rsidR="008E6A3A" w:rsidRPr="008E6A3A" w:rsidRDefault="008E6A3A" w:rsidP="00B63753">
      <w:pPr>
        <w:pStyle w:val="BodyText"/>
        <w:spacing w:after="0"/>
        <w:rPr>
          <w:rStyle w:val="Strong"/>
        </w:rPr>
      </w:pPr>
      <w:r w:rsidRPr="008E6A3A">
        <w:rPr>
          <w:rStyle w:val="Strong"/>
        </w:rPr>
        <w:t>Table 1</w:t>
      </w:r>
      <w:r w:rsidR="005715B3">
        <w:rPr>
          <w:rStyle w:val="Strong"/>
        </w:rPr>
        <w:t>4</w:t>
      </w:r>
      <w:r w:rsidRPr="008E6A3A">
        <w:rPr>
          <w:rStyle w:val="Strong"/>
        </w:rPr>
        <w:t>:</w:t>
      </w:r>
      <w:r w:rsidR="004C051B">
        <w:rPr>
          <w:rStyle w:val="Strong"/>
        </w:rPr>
        <w:t xml:space="preserve"> </w:t>
      </w:r>
      <w:r w:rsidR="0020275A">
        <w:rPr>
          <w:rStyle w:val="Strong"/>
        </w:rPr>
        <w:t>Public Comments</w:t>
      </w:r>
    </w:p>
    <w:tbl>
      <w:tblPr>
        <w:tblStyle w:val="HHSTableforTextData"/>
        <w:tblW w:w="0" w:type="auto"/>
        <w:tblLook w:val="04A0" w:firstRow="1" w:lastRow="0" w:firstColumn="1" w:lastColumn="0" w:noHBand="0" w:noVBand="1"/>
      </w:tblPr>
      <w:tblGrid>
        <w:gridCol w:w="3116"/>
        <w:gridCol w:w="3117"/>
        <w:gridCol w:w="3117"/>
      </w:tblGrid>
      <w:tr w:rsidR="00EB4D8F" w14:paraId="3358E065" w14:textId="77777777" w:rsidTr="00EB4D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2302D3E" w14:textId="1A9284E6" w:rsidR="00EB4D8F" w:rsidRDefault="00EB4D8F" w:rsidP="002E77BD">
            <w:pPr>
              <w:pStyle w:val="BodyTextafterheading"/>
            </w:pPr>
            <w:r>
              <w:t>Comment</w:t>
            </w:r>
          </w:p>
        </w:tc>
        <w:tc>
          <w:tcPr>
            <w:tcW w:w="3117" w:type="dxa"/>
          </w:tcPr>
          <w:p w14:paraId="4D447FC2" w14:textId="600B83EB" w:rsidR="00EB4D8F" w:rsidRDefault="00EB4D8F" w:rsidP="002E77BD">
            <w:pPr>
              <w:pStyle w:val="BodyTextafterheading"/>
              <w:cnfStyle w:val="100000000000" w:firstRow="1" w:lastRow="0" w:firstColumn="0" w:lastColumn="0" w:oddVBand="0" w:evenVBand="0" w:oddHBand="0" w:evenHBand="0" w:firstRowFirstColumn="0" w:firstRowLastColumn="0" w:lastRowFirstColumn="0" w:lastRowLastColumn="0"/>
            </w:pPr>
            <w:r>
              <w:t>Stakeholder Group(s)</w:t>
            </w:r>
          </w:p>
        </w:tc>
        <w:tc>
          <w:tcPr>
            <w:tcW w:w="3117" w:type="dxa"/>
          </w:tcPr>
          <w:p w14:paraId="57E62651" w14:textId="7667CF02" w:rsidR="00EB4D8F" w:rsidRDefault="00EB4D8F" w:rsidP="002E77BD">
            <w:pPr>
              <w:pStyle w:val="BodyTextafterheading"/>
              <w:cnfStyle w:val="100000000000" w:firstRow="1" w:lastRow="0" w:firstColumn="0" w:lastColumn="0" w:oddVBand="0" w:evenVBand="0" w:oddHBand="0" w:evenHBand="0" w:firstRowFirstColumn="0" w:firstRowLastColumn="0" w:lastRowFirstColumn="0" w:lastRowLastColumn="0"/>
            </w:pPr>
            <w:r>
              <w:t>LMHA or LBHA Response and Rationale</w:t>
            </w:r>
          </w:p>
        </w:tc>
      </w:tr>
      <w:tr w:rsidR="00EB4D8F" w14:paraId="7D4ABB23" w14:textId="77777777" w:rsidTr="00EB4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3A55CE7" w14:textId="77777777" w:rsidR="00EB4D8F" w:rsidRDefault="00EB4D8F" w:rsidP="002E77BD">
            <w:pPr>
              <w:pStyle w:val="BodyTextafterheading"/>
            </w:pPr>
          </w:p>
        </w:tc>
        <w:tc>
          <w:tcPr>
            <w:tcW w:w="3117" w:type="dxa"/>
          </w:tcPr>
          <w:p w14:paraId="29E9FE6F" w14:textId="7D532C39" w:rsidR="00EB4D8F" w:rsidRDefault="00E30957" w:rsidP="002E77BD">
            <w:pPr>
              <w:pStyle w:val="BodyTextafterheading"/>
              <w:cnfStyle w:val="000000100000" w:firstRow="0" w:lastRow="0" w:firstColumn="0" w:lastColumn="0" w:oddVBand="0" w:evenVBand="0" w:oddHBand="1" w:evenHBand="0" w:firstRowFirstColumn="0" w:firstRowLastColumn="0" w:lastRowFirstColumn="0" w:lastRowLastColumn="0"/>
            </w:pPr>
            <w:r>
              <w:t>RPNAC</w:t>
            </w:r>
          </w:p>
        </w:tc>
        <w:tc>
          <w:tcPr>
            <w:tcW w:w="3117" w:type="dxa"/>
          </w:tcPr>
          <w:p w14:paraId="10D2AD30" w14:textId="689C9969" w:rsidR="00EB4D8F" w:rsidRDefault="00E30957" w:rsidP="002E77BD">
            <w:pPr>
              <w:pStyle w:val="BodyTextafterheading"/>
              <w:cnfStyle w:val="000000100000" w:firstRow="0" w:lastRow="0" w:firstColumn="0" w:lastColumn="0" w:oddVBand="0" w:evenVBand="0" w:oddHBand="1" w:evenHBand="0" w:firstRowFirstColumn="0" w:firstRowLastColumn="0" w:lastRowFirstColumn="0" w:lastRowLastColumn="0"/>
            </w:pPr>
            <w:r>
              <w:t>TBD</w:t>
            </w:r>
          </w:p>
        </w:tc>
      </w:tr>
      <w:tr w:rsidR="00EB4D8F" w14:paraId="1809C9FA" w14:textId="77777777" w:rsidTr="00EB4D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6FA3077" w14:textId="77777777" w:rsidR="00EB4D8F" w:rsidRDefault="00EB4D8F" w:rsidP="002E77BD">
            <w:pPr>
              <w:pStyle w:val="BodyTextafterheading"/>
            </w:pPr>
          </w:p>
        </w:tc>
        <w:tc>
          <w:tcPr>
            <w:tcW w:w="3117" w:type="dxa"/>
          </w:tcPr>
          <w:p w14:paraId="37221DB9" w14:textId="489A1A34" w:rsidR="00EB4D8F" w:rsidRDefault="00E30957" w:rsidP="002E77BD">
            <w:pPr>
              <w:pStyle w:val="BodyTextafterheading"/>
              <w:cnfStyle w:val="000000010000" w:firstRow="0" w:lastRow="0" w:firstColumn="0" w:lastColumn="0" w:oddVBand="0" w:evenVBand="0" w:oddHBand="0" w:evenHBand="1" w:firstRowFirstColumn="0" w:firstRowLastColumn="0" w:lastRowFirstColumn="0" w:lastRowLastColumn="0"/>
            </w:pPr>
            <w:r>
              <w:t>General Public</w:t>
            </w:r>
          </w:p>
        </w:tc>
        <w:tc>
          <w:tcPr>
            <w:tcW w:w="3117" w:type="dxa"/>
          </w:tcPr>
          <w:p w14:paraId="32DB098A" w14:textId="49822ED5" w:rsidR="00EB4D8F" w:rsidRDefault="00E30957" w:rsidP="002E77BD">
            <w:pPr>
              <w:pStyle w:val="BodyTextafterheading"/>
              <w:cnfStyle w:val="000000010000" w:firstRow="0" w:lastRow="0" w:firstColumn="0" w:lastColumn="0" w:oddVBand="0" w:evenVBand="0" w:oddHBand="0" w:evenHBand="1" w:firstRowFirstColumn="0" w:firstRowLastColumn="0" w:lastRowFirstColumn="0" w:lastRowLastColumn="0"/>
            </w:pPr>
            <w:r>
              <w:t>TBD</w:t>
            </w:r>
          </w:p>
        </w:tc>
      </w:tr>
    </w:tbl>
    <w:p w14:paraId="4956E911" w14:textId="77777777" w:rsidR="00EB4D8F" w:rsidRDefault="00EB4D8F" w:rsidP="002E77BD">
      <w:pPr>
        <w:pStyle w:val="BodyTextafterheading"/>
      </w:pPr>
    </w:p>
    <w:p w14:paraId="5379E48D" w14:textId="1DDB495C" w:rsidR="00212C23" w:rsidRDefault="002E77BD" w:rsidP="002E77BD">
      <w:pPr>
        <w:pStyle w:val="BodyTextafterheading"/>
      </w:pPr>
      <w:r>
        <w:t>C</w:t>
      </w:r>
      <w:r w:rsidR="00CC055A">
        <w:t>omplete and submit en</w:t>
      </w:r>
      <w:r w:rsidR="003D6575">
        <w:t>tire plan to</w:t>
      </w:r>
      <w:r>
        <w:t xml:space="preserve"> </w:t>
      </w:r>
      <w:hyperlink r:id="rId15" w:history="1">
        <w:r w:rsidR="00222BE1" w:rsidRPr="007919BE">
          <w:rPr>
            <w:rStyle w:val="Hyperlink"/>
            <w:rFonts w:cstheme="minorBidi"/>
          </w:rPr>
          <w:t>Performance.Contracts@hhs.texas.gov</w:t>
        </w:r>
      </w:hyperlink>
      <w:r w:rsidR="00222BE1">
        <w:rPr>
          <w:rStyle w:val="Strong"/>
        </w:rPr>
        <w:t xml:space="preserve"> </w:t>
      </w:r>
      <w:r>
        <w:t xml:space="preserve">by </w:t>
      </w:r>
      <w:r w:rsidR="00CC055A" w:rsidRPr="003D6575">
        <w:rPr>
          <w:rStyle w:val="Strong"/>
        </w:rPr>
        <w:t>December 31, 2024</w:t>
      </w:r>
      <w:r>
        <w:t>.</w:t>
      </w:r>
    </w:p>
    <w:p w14:paraId="1770EC43" w14:textId="55671B20" w:rsidR="002E77BD" w:rsidRDefault="00212C23" w:rsidP="00212C23">
      <w:r>
        <w:br w:type="page"/>
      </w:r>
    </w:p>
    <w:p w14:paraId="628CD8B8" w14:textId="50571CCA" w:rsidR="002E77BD" w:rsidRPr="00DB0D37" w:rsidRDefault="002E77BD" w:rsidP="008D34F9">
      <w:pPr>
        <w:pStyle w:val="Heading2"/>
        <w:rPr>
          <w:bCs/>
        </w:rPr>
      </w:pPr>
      <w:r w:rsidRPr="00DB0D37">
        <w:rPr>
          <w:bCs/>
        </w:rPr>
        <w:lastRenderedPageBreak/>
        <w:t>A</w:t>
      </w:r>
      <w:r w:rsidR="006343EC">
        <w:rPr>
          <w:bCs/>
        </w:rPr>
        <w:t>ppendix A: A</w:t>
      </w:r>
      <w:r w:rsidRPr="00DB0D37">
        <w:rPr>
          <w:bCs/>
        </w:rPr>
        <w:t>ssessing Provider Availability</w:t>
      </w:r>
    </w:p>
    <w:p w14:paraId="7D47DB1B" w14:textId="5D45ACB6" w:rsidR="002E77BD" w:rsidRDefault="002E77BD" w:rsidP="002E77BD">
      <w:pPr>
        <w:pStyle w:val="BodyTextafterheading"/>
      </w:pPr>
      <w:r>
        <w:t xml:space="preserve">Provider organizations can indicate interest in contracting with an LMHA or LBHA through the </w:t>
      </w:r>
      <w:hyperlink r:id="rId16" w:history="1">
        <w:r w:rsidRPr="00ED1F1F">
          <w:rPr>
            <w:rStyle w:val="Hyperlink"/>
            <w:rFonts w:cstheme="minorBidi"/>
          </w:rPr>
          <w:t>LPND website</w:t>
        </w:r>
      </w:hyperlink>
      <w:r>
        <w:t xml:space="preserve"> or by contacting the LMHA or LBHA directly. On the LPND website, a provider organization can submit a Provider Inquiry Form that includes key information about the provider. HHSC will notify both the provider and the LMHA or LBHA when the Provider Inquiry Form is posted. </w:t>
      </w:r>
    </w:p>
    <w:p w14:paraId="448B7195" w14:textId="59606445" w:rsidR="002E77BD" w:rsidRDefault="002E77BD" w:rsidP="002E77BD">
      <w:pPr>
        <w:pStyle w:val="BodyTextafterheading"/>
      </w:pPr>
      <w:r>
        <w:t>During its assessment of provider availability, it is the responsibility of the LMHA or</w:t>
      </w:r>
      <w:r w:rsidR="00E431B1">
        <w:t xml:space="preserve"> </w:t>
      </w:r>
      <w:r>
        <w:t xml:space="preserve">LBHA to contact potential providers to schedule a time for further discussion. This discussion provides both the LMHA </w:t>
      </w:r>
      <w:proofErr w:type="gramStart"/>
      <w:r>
        <w:t>or</w:t>
      </w:r>
      <w:proofErr w:type="gramEnd"/>
      <w:r>
        <w:t xml:space="preserve"> LBHA and the provider an opportunity to share information so both parties can make a more informed decision about potential procurements.</w:t>
      </w:r>
    </w:p>
    <w:p w14:paraId="41DAF5EA" w14:textId="478CCCA6" w:rsidR="002E77BD" w:rsidRDefault="002E77BD" w:rsidP="002E77BD">
      <w:pPr>
        <w:pStyle w:val="BodyTextafterheading"/>
      </w:pPr>
      <w:r>
        <w:t>The LMHA or LBHA must work with the provider to find a mutually convenient time</w:t>
      </w:r>
      <w:r w:rsidR="007D5310">
        <w:t xml:space="preserve"> for an informational meeting</w:t>
      </w:r>
      <w:r>
        <w:t>. If the provider does not respond to the invitation or is not able to accommodate a teleconference or a site visit within 14 days of the LMHA’s or LBHA’s initial contact, the LMHA or LBHA may conclude that the provider is not interested in contracting with the LMHA or LBHA.</w:t>
      </w:r>
    </w:p>
    <w:p w14:paraId="3DB565AC" w14:textId="55302881" w:rsidR="002E77BD" w:rsidRDefault="002E77BD" w:rsidP="002E77BD">
      <w:pPr>
        <w:pStyle w:val="BodyTextafterheading"/>
      </w:pPr>
      <w:r>
        <w:t>If the LMHA or LBHA does not contact the provider, the LMHA or LBHA must assume the provider is interested in contracting with the LMHA or LBHA.</w:t>
      </w:r>
    </w:p>
    <w:p w14:paraId="46A800CF" w14:textId="43B9779A" w:rsidR="002E77BD" w:rsidRDefault="002E77BD" w:rsidP="002E77BD">
      <w:pPr>
        <w:pStyle w:val="BodyTextafterheading"/>
      </w:pPr>
      <w:r>
        <w:t xml:space="preserve">An LMHA or LBHA may not eliminate the provider from consideration during the planning process without evidence the provider is no longer interested or is not qualified of </w:t>
      </w:r>
      <w:r w:rsidR="005E6203">
        <w:t xml:space="preserve">specified </w:t>
      </w:r>
      <w:r>
        <w:t>provider services in accordance with applicable state and local laws and regulations.</w:t>
      </w:r>
    </w:p>
    <w:p w14:paraId="3633DD77" w14:textId="1C14DABC" w:rsidR="00F22827" w:rsidRDefault="00F22827">
      <w:r>
        <w:br w:type="page"/>
      </w:r>
    </w:p>
    <w:p w14:paraId="0A78C11E" w14:textId="4A01B834" w:rsidR="002E77BD" w:rsidRDefault="00371516" w:rsidP="008D34F9">
      <w:pPr>
        <w:pStyle w:val="Heading2"/>
      </w:pPr>
      <w:r>
        <w:lastRenderedPageBreak/>
        <w:t>Appendix B: G</w:t>
      </w:r>
      <w:r w:rsidR="002E77BD" w:rsidRPr="00F65E72">
        <w:t xml:space="preserve">uidance on Conditions Permitting LMHA </w:t>
      </w:r>
      <w:r w:rsidR="009D77D8">
        <w:t xml:space="preserve">and LBHA </w:t>
      </w:r>
      <w:r w:rsidR="002E77BD" w:rsidRPr="00F65E72">
        <w:t>Service Delivery</w:t>
      </w:r>
    </w:p>
    <w:p w14:paraId="5B9FECB8" w14:textId="61239AFA" w:rsidR="002E77BD" w:rsidRDefault="006817E3" w:rsidP="008154B0">
      <w:pPr>
        <w:pStyle w:val="BodyText"/>
      </w:pPr>
      <w:r>
        <w:t xml:space="preserve">In accordance with </w:t>
      </w:r>
      <w:hyperlink r:id="rId17" w:history="1">
        <w:r w:rsidR="00A04070">
          <w:rPr>
            <w:rStyle w:val="Hyperlink"/>
            <w:rFonts w:cstheme="minorBidi"/>
          </w:rPr>
          <w:t>26 TAC Section 301.259</w:t>
        </w:r>
      </w:hyperlink>
      <w:r w:rsidR="008154B0">
        <w:t xml:space="preserve"> a</w:t>
      </w:r>
      <w:r w:rsidR="002E77BD">
        <w:t xml:space="preserve">n LMHA </w:t>
      </w:r>
      <w:r w:rsidR="00A04070">
        <w:t xml:space="preserve">or LBHA </w:t>
      </w:r>
      <w:r w:rsidR="002E77BD">
        <w:t xml:space="preserve">may only provide services if one or more of the following conditions is present. </w:t>
      </w:r>
    </w:p>
    <w:p w14:paraId="711D6577" w14:textId="54E4215D" w:rsidR="003D57C7" w:rsidRDefault="003D57C7" w:rsidP="003D57C7">
      <w:pPr>
        <w:pStyle w:val="BodyTextafterheading"/>
        <w:numPr>
          <w:ilvl w:val="0"/>
          <w:numId w:val="24"/>
        </w:numPr>
      </w:pPr>
      <w:r>
        <w:t xml:space="preserve">The LMHA </w:t>
      </w:r>
      <w:r w:rsidR="00B46525">
        <w:t xml:space="preserve">or LBHA </w:t>
      </w:r>
      <w:r>
        <w:t xml:space="preserve">determines that interested, qualified providers are not available to provide services in the LMHA's </w:t>
      </w:r>
      <w:r w:rsidR="00B46525">
        <w:t xml:space="preserve">or LBHA’s </w:t>
      </w:r>
      <w:r>
        <w:t>service area or that no providers meet procurement specifications.</w:t>
      </w:r>
    </w:p>
    <w:p w14:paraId="0FCA8BC2" w14:textId="4F861E5D" w:rsidR="003D57C7" w:rsidRDefault="003D57C7" w:rsidP="003D57C7">
      <w:pPr>
        <w:pStyle w:val="BodyTextafterheading"/>
        <w:numPr>
          <w:ilvl w:val="0"/>
          <w:numId w:val="24"/>
        </w:numPr>
      </w:pPr>
      <w:r>
        <w:t xml:space="preserve">The network of external providers does not provide the minimum level of individual choice. A minimal level of individual choice is present if </w:t>
      </w:r>
      <w:r w:rsidR="00324000">
        <w:t xml:space="preserve">a person </w:t>
      </w:r>
      <w:r>
        <w:t>and their legally authorized representative</w:t>
      </w:r>
      <w:r w:rsidR="00324000">
        <w:t>(</w:t>
      </w:r>
      <w:r>
        <w:t>s</w:t>
      </w:r>
      <w:r w:rsidR="00324000">
        <w:t>)</w:t>
      </w:r>
      <w:r>
        <w:t xml:space="preserve"> can choose from two or more qualified providers.</w:t>
      </w:r>
    </w:p>
    <w:p w14:paraId="686038F6" w14:textId="19EF53A9" w:rsidR="003D57C7" w:rsidRDefault="003D57C7" w:rsidP="003D57C7">
      <w:pPr>
        <w:pStyle w:val="BodyTextafterheading"/>
        <w:numPr>
          <w:ilvl w:val="0"/>
          <w:numId w:val="24"/>
        </w:numPr>
      </w:pPr>
      <w:r>
        <w:t xml:space="preserve">The network of external providers does not provide </w:t>
      </w:r>
      <w:r w:rsidR="00324000">
        <w:t xml:space="preserve">people </w:t>
      </w:r>
      <w:r>
        <w:t>with access to services that is equal to or better than the level of access in the local network, including services provided by the LMHA</w:t>
      </w:r>
      <w:r w:rsidR="00B46525">
        <w:t xml:space="preserve"> or LBHA</w:t>
      </w:r>
      <w:r>
        <w:t xml:space="preserve">, as of a date determined by the department. An LMHA </w:t>
      </w:r>
      <w:r w:rsidR="00B46525">
        <w:t xml:space="preserve">or LBHA </w:t>
      </w:r>
      <w:r>
        <w:t>relying on this condition must submit the information necessary for the department to verify the level of access.</w:t>
      </w:r>
    </w:p>
    <w:p w14:paraId="4E762B01" w14:textId="642F087D" w:rsidR="003D57C7" w:rsidRDefault="003D57C7" w:rsidP="003D57C7">
      <w:pPr>
        <w:pStyle w:val="BodyTextafterheading"/>
        <w:numPr>
          <w:ilvl w:val="0"/>
          <w:numId w:val="24"/>
        </w:numPr>
      </w:pPr>
      <w:r>
        <w:t xml:space="preserve">The combined volume of services delivered by external providers is not sufficient to meet 100 percent of the LMHA's </w:t>
      </w:r>
      <w:r w:rsidR="00B46525">
        <w:t xml:space="preserve">or LBHA’s </w:t>
      </w:r>
      <w:r>
        <w:t xml:space="preserve">service capacity for each level of care identified in the LMHA's </w:t>
      </w:r>
      <w:r w:rsidR="00B46525">
        <w:t xml:space="preserve">or LBHA’s </w:t>
      </w:r>
      <w:r>
        <w:t>plan.</w:t>
      </w:r>
    </w:p>
    <w:p w14:paraId="265CA5F3" w14:textId="16F0D86C" w:rsidR="003D57C7" w:rsidRDefault="003D57C7" w:rsidP="003D57C7">
      <w:pPr>
        <w:pStyle w:val="BodyTextafterheading"/>
        <w:numPr>
          <w:ilvl w:val="0"/>
          <w:numId w:val="24"/>
        </w:numPr>
      </w:pPr>
      <w:r>
        <w:t xml:space="preserve">Existing agreements restrict the LMHA's </w:t>
      </w:r>
      <w:r w:rsidR="00B46525">
        <w:t xml:space="preserve">or LBHA’s </w:t>
      </w:r>
      <w:r>
        <w:t xml:space="preserve">ability to contract with external providers for specific services during the two-year period covered by the LMHA's </w:t>
      </w:r>
      <w:r w:rsidR="00B46525">
        <w:t xml:space="preserve">or LBHA’s </w:t>
      </w:r>
      <w:r>
        <w:t xml:space="preserve">plan. If the LMHA </w:t>
      </w:r>
      <w:r w:rsidR="00B46525">
        <w:t xml:space="preserve">or LBHA </w:t>
      </w:r>
      <w:r>
        <w:t xml:space="preserve">relies on this condition, the department shall require the LMHA </w:t>
      </w:r>
      <w:r w:rsidR="00B46525">
        <w:t xml:space="preserve">or LBHA </w:t>
      </w:r>
      <w:r>
        <w:t>to submit copies of relevant agreements.</w:t>
      </w:r>
    </w:p>
    <w:p w14:paraId="4B5713EC" w14:textId="50A2C070" w:rsidR="003D57C7" w:rsidRDefault="003D57C7" w:rsidP="003D57C7">
      <w:pPr>
        <w:pStyle w:val="BodyTextafterheading"/>
        <w:numPr>
          <w:ilvl w:val="0"/>
          <w:numId w:val="24"/>
        </w:numPr>
      </w:pPr>
      <w:r>
        <w:t xml:space="preserve">The LMHA </w:t>
      </w:r>
      <w:r w:rsidR="00B46525">
        <w:t xml:space="preserve">and LBHA </w:t>
      </w:r>
      <w:r>
        <w:t xml:space="preserve">documents that it is necessary for the LMHA </w:t>
      </w:r>
      <w:r w:rsidR="00B46525">
        <w:t xml:space="preserve">or LBHA </w:t>
      </w:r>
      <w:r>
        <w:t xml:space="preserve">to provide specified services during the two-year period covered by the LMHA's </w:t>
      </w:r>
      <w:r w:rsidR="00B46525">
        <w:t xml:space="preserve">or LBHA’s </w:t>
      </w:r>
      <w:r>
        <w:t xml:space="preserve">plan to preserve critical infrastructure needed to ensure continuous provision of services. An LMHA </w:t>
      </w:r>
      <w:r w:rsidR="00B46525">
        <w:t xml:space="preserve">or LBHA </w:t>
      </w:r>
      <w:r>
        <w:t>relying on this condition must:</w:t>
      </w:r>
    </w:p>
    <w:p w14:paraId="66A42ADC" w14:textId="44425FCC" w:rsidR="003D57C7" w:rsidRDefault="00F74B49" w:rsidP="005964F6">
      <w:pPr>
        <w:pStyle w:val="BodyTextafterheading"/>
        <w:numPr>
          <w:ilvl w:val="0"/>
          <w:numId w:val="25"/>
        </w:numPr>
      </w:pPr>
      <w:r>
        <w:t>D</w:t>
      </w:r>
      <w:r w:rsidR="003D57C7">
        <w:t xml:space="preserve">ocument that it has evaluated a range of other measures to ensure continuous delivery of services, including but not limited to those </w:t>
      </w:r>
      <w:r w:rsidR="003D57C7">
        <w:lastRenderedPageBreak/>
        <w:t xml:space="preserve">identified by the </w:t>
      </w:r>
      <w:r w:rsidR="00B46525">
        <w:t xml:space="preserve">PNAC </w:t>
      </w:r>
      <w:r w:rsidR="003D57C7">
        <w:t xml:space="preserve">and the department at the beginning of each planning </w:t>
      </w:r>
      <w:proofErr w:type="gramStart"/>
      <w:r w:rsidR="003D57C7">
        <w:t>cycle;</w:t>
      </w:r>
      <w:proofErr w:type="gramEnd"/>
    </w:p>
    <w:p w14:paraId="430D29DD" w14:textId="604D83DC" w:rsidR="003D57C7" w:rsidRDefault="00FC05F9" w:rsidP="005964F6">
      <w:pPr>
        <w:pStyle w:val="BodyTextafterheading"/>
        <w:numPr>
          <w:ilvl w:val="0"/>
          <w:numId w:val="25"/>
        </w:numPr>
      </w:pPr>
      <w:r>
        <w:t>D</w:t>
      </w:r>
      <w:r w:rsidR="003D57C7">
        <w:t>ocument implementation of appropriate other measures;</w:t>
      </w:r>
    </w:p>
    <w:p w14:paraId="2E17BA42" w14:textId="21B25E68" w:rsidR="003D57C7" w:rsidRDefault="00FC05F9" w:rsidP="005964F6">
      <w:pPr>
        <w:pStyle w:val="BodyTextafterheading"/>
        <w:numPr>
          <w:ilvl w:val="0"/>
          <w:numId w:val="25"/>
        </w:numPr>
      </w:pPr>
      <w:r>
        <w:t>I</w:t>
      </w:r>
      <w:r w:rsidR="003D57C7">
        <w:t xml:space="preserve">dentify a timeframe for transitioning to an external provider network, during which the LMHA </w:t>
      </w:r>
      <w:r w:rsidR="008819C1">
        <w:t xml:space="preserve">or LBHA </w:t>
      </w:r>
      <w:r w:rsidR="003D57C7">
        <w:t>shall procure an increasing proportion of the service capacity from external provider in successive procurement cycles; and</w:t>
      </w:r>
    </w:p>
    <w:p w14:paraId="44FB06C7" w14:textId="453C7843" w:rsidR="002E77BD" w:rsidRDefault="000862F1" w:rsidP="005964F6">
      <w:pPr>
        <w:pStyle w:val="BodyTextafterheading"/>
        <w:numPr>
          <w:ilvl w:val="0"/>
          <w:numId w:val="25"/>
        </w:numPr>
      </w:pPr>
      <w:r>
        <w:t>G</w:t>
      </w:r>
      <w:r w:rsidR="003D57C7">
        <w:t xml:space="preserve">ive up its role as a service provider at the end of the transition period if the network has multiple external providers and the LMHA </w:t>
      </w:r>
      <w:r w:rsidR="008819C1">
        <w:t xml:space="preserve">or LBHA </w:t>
      </w:r>
      <w:r w:rsidR="003D57C7">
        <w:t>determines that external providers are willing and able to provide sufficient added service volume within a reasonable period of time to compensate for service volume lost should any one of the external provider contracts be terminated.</w:t>
      </w:r>
    </w:p>
    <w:p w14:paraId="6D3FCB72" w14:textId="39364621" w:rsidR="00F22827" w:rsidRDefault="00F22827">
      <w:r>
        <w:br w:type="page"/>
      </w:r>
    </w:p>
    <w:p w14:paraId="3C76D926" w14:textId="03180219" w:rsidR="002E77BD" w:rsidRPr="000862F1" w:rsidRDefault="002E77BD" w:rsidP="0069038E">
      <w:pPr>
        <w:pStyle w:val="Heading2"/>
        <w:rPr>
          <w:rStyle w:val="Strong"/>
          <w:bCs w:val="0"/>
        </w:rPr>
      </w:pPr>
      <w:r w:rsidRPr="000862F1">
        <w:rPr>
          <w:rStyle w:val="Strong"/>
          <w:b/>
          <w:bCs w:val="0"/>
        </w:rPr>
        <w:lastRenderedPageBreak/>
        <w:t>Appendix C</w:t>
      </w:r>
      <w:r w:rsidR="000862F1" w:rsidRPr="000862F1">
        <w:rPr>
          <w:rStyle w:val="Strong"/>
          <w:b/>
          <w:bCs w:val="0"/>
        </w:rPr>
        <w:t>: Legislative Authority</w:t>
      </w:r>
    </w:p>
    <w:p w14:paraId="50E101EA" w14:textId="1DACDCFF" w:rsidR="002E77BD" w:rsidRPr="00BF1DB0" w:rsidRDefault="00A829B1" w:rsidP="0069038E">
      <w:pPr>
        <w:pStyle w:val="Heading3"/>
      </w:pPr>
      <w:r>
        <w:t>2022-23 General Appropriations Act, Senate B</w:t>
      </w:r>
      <w:r w:rsidR="002E77BD" w:rsidRPr="00BF1DB0">
        <w:t xml:space="preserve">ill 1, 87th Legislature, Regular Session, 2021 (Article II, </w:t>
      </w:r>
      <w:r w:rsidR="002A38DC" w:rsidRPr="00BF1DB0">
        <w:t>HHSC,</w:t>
      </w:r>
      <w:r w:rsidR="002E77BD" w:rsidRPr="00BF1DB0">
        <w:t xml:space="preserve"> Rider 139</w:t>
      </w:r>
      <w:r w:rsidR="00BF1DB0" w:rsidRPr="00BF1DB0">
        <w:t>)</w:t>
      </w:r>
    </w:p>
    <w:p w14:paraId="2A7912EA" w14:textId="3AFF0D4A" w:rsidR="00F0415C" w:rsidRDefault="002E77BD" w:rsidP="00C6652F">
      <w:pPr>
        <w:pStyle w:val="BodyTextafterheading"/>
      </w:pPr>
      <w:r w:rsidRPr="0069038E">
        <w:rPr>
          <w:b/>
          <w:bCs/>
        </w:rPr>
        <w:t>Efficiencies at Local Mental Health Authorities and Intellectual Disability Authorities.</w:t>
      </w:r>
      <w:r>
        <w:t xml:space="preserve"> </w:t>
      </w:r>
      <w:r w:rsidR="00626A22" w:rsidRPr="00F0415C">
        <w:t xml:space="preserve">HHSC shall ensure that </w:t>
      </w:r>
      <w:r w:rsidR="005E6F74">
        <w:t>LMHAs</w:t>
      </w:r>
      <w:r w:rsidR="00F82544">
        <w:t xml:space="preserve">, </w:t>
      </w:r>
      <w:r w:rsidR="005E6F74">
        <w:t>LBHAs</w:t>
      </w:r>
      <w:r w:rsidR="0017226E">
        <w:t xml:space="preserve"> </w:t>
      </w:r>
      <w:r w:rsidR="00626A22" w:rsidRPr="00F0415C">
        <w:t xml:space="preserve">and local intellectual disability authorities that receive allocations from the funds appropriated above to HHSC shall maximize the dollars available to provide services by minimizing overhead and administrative costs and achieving purchasing efficiencies. The Legislature also intends that each state agency which enters into a contract with or makes a grant to local authorities does so in a manner that promotes the maximization of </w:t>
      </w:r>
      <w:r w:rsidR="0017226E" w:rsidRPr="00F0415C">
        <w:t>third-party</w:t>
      </w:r>
      <w:r w:rsidR="00626A22" w:rsidRPr="00F0415C">
        <w:t xml:space="preserve"> billing opportunities, including to Medicare and Medicaid. </w:t>
      </w:r>
    </w:p>
    <w:p w14:paraId="31B2F1E4" w14:textId="1336BE38" w:rsidR="00C6652F" w:rsidRPr="00C6652F" w:rsidRDefault="00626A22" w:rsidP="00C6652F">
      <w:pPr>
        <w:pStyle w:val="BodyTextafterheading"/>
      </w:pPr>
      <w:r w:rsidRPr="00F0415C">
        <w:t>Funds appropriated above to HHSC in Strategies I.2.1, Long-Term Care Intake and Access, and F.1.3, Non-Medicaid IDD Community Services, may not be used to supplement the rate-based payments incurred by local intellectual disability authorities to provide waiver or ICF/IID</w:t>
      </w:r>
      <w:r w:rsidR="00F6703C">
        <w:rPr>
          <w:rStyle w:val="FootnoteReference"/>
        </w:rPr>
        <w:footnoteReference w:id="2"/>
      </w:r>
      <w:r w:rsidRPr="00F0415C">
        <w:t xml:space="preserve"> services.</w:t>
      </w:r>
      <w:r w:rsidR="002E77BD">
        <w:t xml:space="preserve"> </w:t>
      </w:r>
    </w:p>
    <w:sectPr w:rsidR="00C6652F" w:rsidRPr="00C6652F" w:rsidSect="002D72E1">
      <w:footerReference w:type="default" r:id="rId18"/>
      <w:footerReference w:type="first" r:id="rId19"/>
      <w:footnotePr>
        <w:numFmt w:val="lowerLetter"/>
      </w:footnotePr>
      <w:endnotePr>
        <w:numFmt w:val="lowerLetter"/>
        <w:numRestart w:val="eachSect"/>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A7534" w14:textId="77777777" w:rsidR="007F034F" w:rsidRDefault="007F034F" w:rsidP="000E59DE">
      <w:r>
        <w:separator/>
      </w:r>
    </w:p>
    <w:p w14:paraId="511F0B94" w14:textId="77777777" w:rsidR="007F034F" w:rsidRDefault="007F034F" w:rsidP="000E59DE"/>
  </w:endnote>
  <w:endnote w:type="continuationSeparator" w:id="0">
    <w:p w14:paraId="7DAADFDA" w14:textId="77777777" w:rsidR="007F034F" w:rsidRDefault="007F034F" w:rsidP="000E59DE">
      <w:r>
        <w:continuationSeparator/>
      </w:r>
    </w:p>
    <w:p w14:paraId="1F5AB97D" w14:textId="77777777" w:rsidR="007F034F" w:rsidRDefault="007F034F" w:rsidP="000E59DE"/>
  </w:endnote>
  <w:endnote w:type="continuationNotice" w:id="1">
    <w:p w14:paraId="439AE0A6" w14:textId="77777777" w:rsidR="007F034F" w:rsidRPr="00BE23B2" w:rsidRDefault="007F034F" w:rsidP="000E59DE"/>
    <w:p w14:paraId="27A91BA5" w14:textId="77777777" w:rsidR="007F034F" w:rsidRDefault="007F034F" w:rsidP="000E5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28C55" w14:textId="77777777" w:rsidR="005F2FCD" w:rsidRPr="00DC3247" w:rsidRDefault="005F2FCD" w:rsidP="00101F54">
    <w:pPr>
      <w:spacing w:before="240"/>
      <w:jc w:val="center"/>
    </w:pPr>
    <w:r w:rsidRPr="00DC3247">
      <w:fldChar w:fldCharType="begin"/>
    </w:r>
    <w:r w:rsidRPr="00DC3247">
      <w:instrText xml:space="preserve"> PAGE   \* MERGEFORMAT </w:instrText>
    </w:r>
    <w:r w:rsidRPr="00DC3247">
      <w:fldChar w:fldCharType="separate"/>
    </w:r>
    <w:r>
      <w:t>1</w:t>
    </w:r>
    <w:r w:rsidRPr="00DC3247">
      <w:rPr>
        <w:noProof/>
      </w:rPr>
      <w:fldChar w:fldCharType="end"/>
    </w:r>
  </w:p>
  <w:p w14:paraId="726E6CA5" w14:textId="0DF5CB5B" w:rsidR="00BD08B2" w:rsidRDefault="005F2FCD" w:rsidP="00AB0105">
    <w:pPr>
      <w:pBdr>
        <w:top w:val="single" w:sz="4" w:space="4" w:color="auto"/>
      </w:pBdr>
      <w:tabs>
        <w:tab w:val="center" w:pos="4680"/>
        <w:tab w:val="right" w:pos="9360"/>
      </w:tabs>
      <w:jc w:val="center"/>
    </w:pPr>
    <w:r w:rsidRPr="00DC3247">
      <w:rPr>
        <w:sz w:val="20"/>
      </w:rPr>
      <w:t xml:space="preserve">Texas Health and Human Services ● </w:t>
    </w:r>
    <w:r w:rsidRPr="00DC3247">
      <w:rPr>
        <w:b/>
        <w:sz w:val="20"/>
      </w:rPr>
      <w:t>hhs.texas.gov</w:t>
    </w:r>
    <w:r>
      <w:rPr>
        <w:b/>
        <w:sz w:val="20"/>
      </w:rPr>
      <w:t xml:space="preserve"> </w:t>
    </w:r>
    <w:r w:rsidRPr="00DC3247">
      <w:rPr>
        <w:sz w:val="20"/>
      </w:rPr>
      <w:t>●</w:t>
    </w:r>
    <w:r>
      <w:rPr>
        <w:sz w:val="20"/>
      </w:rPr>
      <w:t xml:space="preserve"> </w:t>
    </w:r>
    <w:r w:rsidRPr="0096447D">
      <w:rPr>
        <w:sz w:val="20"/>
      </w:rPr>
      <w:t xml:space="preserve">Revised: </w:t>
    </w:r>
    <w:r w:rsidR="002E4D45">
      <w:rPr>
        <w:sz w:val="20"/>
      </w:rPr>
      <w:t>09</w:t>
    </w:r>
    <w:r w:rsidR="00EF4F72">
      <w:rPr>
        <w:sz w:val="20"/>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EF647" w14:textId="77777777" w:rsidR="00101F54" w:rsidRPr="00DC3247" w:rsidRDefault="00101F54" w:rsidP="00101F54">
    <w:pPr>
      <w:spacing w:before="240"/>
      <w:jc w:val="center"/>
    </w:pPr>
    <w:r w:rsidRPr="00DC3247">
      <w:fldChar w:fldCharType="begin"/>
    </w:r>
    <w:r w:rsidRPr="00DC3247">
      <w:instrText xml:space="preserve"> PAGE   \* MERGEFORMAT </w:instrText>
    </w:r>
    <w:r w:rsidRPr="00DC3247">
      <w:fldChar w:fldCharType="separate"/>
    </w:r>
    <w:r>
      <w:t>1</w:t>
    </w:r>
    <w:r w:rsidRPr="00DC3247">
      <w:rPr>
        <w:noProof/>
      </w:rPr>
      <w:fldChar w:fldCharType="end"/>
    </w:r>
  </w:p>
  <w:p w14:paraId="7E7AB8A3" w14:textId="77777777" w:rsidR="00101F54" w:rsidRPr="0096447D" w:rsidRDefault="00101F54" w:rsidP="00101F54">
    <w:pPr>
      <w:pBdr>
        <w:top w:val="single" w:sz="4" w:space="4" w:color="auto"/>
      </w:pBdr>
      <w:tabs>
        <w:tab w:val="center" w:pos="4680"/>
        <w:tab w:val="right" w:pos="9360"/>
      </w:tabs>
      <w:jc w:val="center"/>
    </w:pPr>
    <w:r w:rsidRPr="00DC3247">
      <w:rPr>
        <w:sz w:val="20"/>
      </w:rPr>
      <w:t xml:space="preserve">Texas Health and Human Services ● </w:t>
    </w:r>
    <w:r w:rsidRPr="00DC3247">
      <w:rPr>
        <w:b/>
        <w:sz w:val="20"/>
      </w:rPr>
      <w:t>hhs.texas.gov</w:t>
    </w:r>
    <w:r w:rsidR="0096447D">
      <w:rPr>
        <w:b/>
        <w:sz w:val="20"/>
      </w:rPr>
      <w:t xml:space="preserve"> </w:t>
    </w:r>
    <w:r w:rsidR="0096447D" w:rsidRPr="00DC3247">
      <w:rPr>
        <w:sz w:val="20"/>
      </w:rPr>
      <w:t>●</w:t>
    </w:r>
    <w:r w:rsidR="0096447D">
      <w:rPr>
        <w:sz w:val="20"/>
      </w:rPr>
      <w:t xml:space="preserve"> </w:t>
    </w:r>
    <w:r w:rsidR="0096447D" w:rsidRPr="0096447D">
      <w:rPr>
        <w:sz w:val="20"/>
      </w:rPr>
      <w:t>Revised: XX/XXXX</w:t>
    </w:r>
  </w:p>
  <w:p w14:paraId="450A43EB" w14:textId="77777777" w:rsidR="00BD08B2" w:rsidRDefault="00BD08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1724D" w14:textId="77777777" w:rsidR="007F034F" w:rsidRDefault="007F034F" w:rsidP="000E59DE">
      <w:r>
        <w:separator/>
      </w:r>
    </w:p>
  </w:footnote>
  <w:footnote w:type="continuationSeparator" w:id="0">
    <w:p w14:paraId="03D0215A" w14:textId="77777777" w:rsidR="007F034F" w:rsidRDefault="007F034F" w:rsidP="000E59DE">
      <w:r>
        <w:continuationSeparator/>
      </w:r>
    </w:p>
  </w:footnote>
  <w:footnote w:type="continuationNotice" w:id="1">
    <w:p w14:paraId="1A7859F0" w14:textId="77777777" w:rsidR="007F034F" w:rsidRPr="00BE23B2" w:rsidRDefault="007F034F" w:rsidP="000E59DE"/>
    <w:p w14:paraId="161F0C1B" w14:textId="77777777" w:rsidR="007F034F" w:rsidRDefault="007F034F" w:rsidP="000E59DE"/>
  </w:footnote>
  <w:footnote w:id="2">
    <w:p w14:paraId="5B34D0E1" w14:textId="3885E0AA" w:rsidR="00F6703C" w:rsidRDefault="00F6703C">
      <w:pPr>
        <w:pStyle w:val="FootnoteText"/>
      </w:pPr>
      <w:r>
        <w:rPr>
          <w:rStyle w:val="FootnoteReference"/>
        </w:rPr>
        <w:footnoteRef/>
      </w:r>
      <w:r>
        <w:t xml:space="preserve"> ICF/IID - </w:t>
      </w:r>
      <w:r w:rsidR="00F82544" w:rsidRPr="00F82544">
        <w:t>Intermediate Care Facilities for Individuals with an Intellectual Disability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C377C"/>
    <w:multiLevelType w:val="multilevel"/>
    <w:tmpl w:val="2618F04C"/>
    <w:numStyleLink w:val="HHSBullets"/>
  </w:abstractNum>
  <w:abstractNum w:abstractNumId="1" w15:restartNumberingAfterBreak="0">
    <w:nsid w:val="048F13F8"/>
    <w:multiLevelType w:val="hybridMultilevel"/>
    <w:tmpl w:val="7BD2BA4A"/>
    <w:lvl w:ilvl="0" w:tplc="DF2639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C209E"/>
    <w:multiLevelType w:val="hybridMultilevel"/>
    <w:tmpl w:val="29C6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76E47"/>
    <w:multiLevelType w:val="hybridMultilevel"/>
    <w:tmpl w:val="07DE4E90"/>
    <w:lvl w:ilvl="0" w:tplc="DF2639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8037F6"/>
    <w:multiLevelType w:val="hybridMultilevel"/>
    <w:tmpl w:val="0D585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BC6944"/>
    <w:multiLevelType w:val="hybridMultilevel"/>
    <w:tmpl w:val="514ADCCE"/>
    <w:lvl w:ilvl="0" w:tplc="F53A4D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B3914"/>
    <w:multiLevelType w:val="hybridMultilevel"/>
    <w:tmpl w:val="DC48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200E0"/>
    <w:multiLevelType w:val="multilevel"/>
    <w:tmpl w:val="243C9078"/>
    <w:styleLink w:val="HHSNumbering"/>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8" w15:restartNumberingAfterBreak="0">
    <w:nsid w:val="2079674E"/>
    <w:multiLevelType w:val="hybridMultilevel"/>
    <w:tmpl w:val="EC9807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19806FA"/>
    <w:multiLevelType w:val="hybridMultilevel"/>
    <w:tmpl w:val="B6266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82E10"/>
    <w:multiLevelType w:val="multilevel"/>
    <w:tmpl w:val="17103B86"/>
    <w:styleLink w:val="HHSHeadingNumbering"/>
    <w:lvl w:ilvl="0">
      <w:start w:val="1"/>
      <w:numFmt w:val="decimal"/>
      <w:lvlText w:val="%1."/>
      <w:lvlJc w:val="left"/>
      <w:pPr>
        <w:ind w:left="360" w:hanging="360"/>
      </w:pPr>
      <w:rPr>
        <w:rFonts w:asciiTheme="majorHAnsi" w:hAnsiTheme="majorHAnsi" w:hint="default"/>
      </w:rPr>
    </w:lvl>
    <w:lvl w:ilvl="1">
      <w:start w:val="1"/>
      <w:numFmt w:val="decimal"/>
      <w:suff w:val="space"/>
      <w:lvlText w:val="%2.%1"/>
      <w:lvlJc w:val="left"/>
      <w:pPr>
        <w:ind w:left="360" w:hanging="360"/>
      </w:pPr>
      <w:rPr>
        <w:rFonts w:asciiTheme="majorHAnsi" w:hAnsiTheme="majorHAnsi" w:hint="default"/>
      </w:rPr>
    </w:lvl>
    <w:lvl w:ilvl="2">
      <w:start w:val="1"/>
      <w:numFmt w:val="decimal"/>
      <w:suff w:val="space"/>
      <w:lvlText w:val="%1.%2.%3"/>
      <w:lvlJc w:val="left"/>
      <w:pPr>
        <w:ind w:left="360" w:hanging="360"/>
      </w:pPr>
      <w:rPr>
        <w:rFonts w:asciiTheme="majorHAnsi" w:hAnsiTheme="majorHAnsi" w:hint="default"/>
      </w:rPr>
    </w:lvl>
    <w:lvl w:ilvl="3">
      <w:start w:val="1"/>
      <w:numFmt w:val="decimal"/>
      <w:suff w:val="space"/>
      <w:lvlText w:val="%1.%2.%3.%4."/>
      <w:lvlJc w:val="left"/>
      <w:pPr>
        <w:ind w:left="360" w:hanging="360"/>
      </w:pPr>
      <w:rPr>
        <w:rFonts w:asciiTheme="minorHAnsi" w:hAnsiTheme="minorHAnsi" w:hint="default"/>
      </w:rPr>
    </w:lvl>
    <w:lvl w:ilvl="4">
      <w:start w:val="1"/>
      <w:numFmt w:val="decimal"/>
      <w:suff w:val="space"/>
      <w:lvlText w:val="%1.%2.%3.%4.%5."/>
      <w:lvlJc w:val="left"/>
      <w:pPr>
        <w:ind w:left="360" w:hanging="360"/>
      </w:pPr>
      <w:rPr>
        <w:rFonts w:asciiTheme="minorHAnsi" w:hAnsiTheme="minorHAnsi" w:hint="default"/>
      </w:rPr>
    </w:lvl>
    <w:lvl w:ilvl="5">
      <w:start w:val="1"/>
      <w:numFmt w:val="decimal"/>
      <w:suff w:val="space"/>
      <w:lvlText w:val="%1.%2.%3.%4.%5.%6."/>
      <w:lvlJc w:val="left"/>
      <w:pPr>
        <w:ind w:left="360" w:hanging="360"/>
      </w:pPr>
      <w:rPr>
        <w:rFonts w:asciiTheme="minorHAnsi" w:hAnsiTheme="minorHAnsi" w:hint="default"/>
      </w:rPr>
    </w:lvl>
    <w:lvl w:ilvl="6">
      <w:start w:val="1"/>
      <w:numFmt w:val="none"/>
      <w:suff w:val="nothing"/>
      <w:lvlText w:val="%7"/>
      <w:lvlJc w:val="left"/>
      <w:pPr>
        <w:ind w:left="360" w:hanging="360"/>
      </w:pPr>
      <w:rPr>
        <w:rFonts w:hint="default"/>
      </w:rPr>
    </w:lvl>
    <w:lvl w:ilvl="7">
      <w:start w:val="1"/>
      <w:numFmt w:val="none"/>
      <w:suff w:val="nothing"/>
      <w:lvlText w:val="%8"/>
      <w:lvlJc w:val="left"/>
      <w:pPr>
        <w:ind w:left="360" w:hanging="360"/>
      </w:pPr>
      <w:rPr>
        <w:rFonts w:hint="default"/>
      </w:rPr>
    </w:lvl>
    <w:lvl w:ilvl="8">
      <w:start w:val="1"/>
      <w:numFmt w:val="none"/>
      <w:suff w:val="nothing"/>
      <w:lvlText w:val="%9"/>
      <w:lvlJc w:val="left"/>
      <w:pPr>
        <w:ind w:left="360" w:hanging="360"/>
      </w:pPr>
      <w:rPr>
        <w:rFonts w:hint="default"/>
      </w:rPr>
    </w:lvl>
  </w:abstractNum>
  <w:abstractNum w:abstractNumId="11" w15:restartNumberingAfterBreak="0">
    <w:nsid w:val="339F0BC1"/>
    <w:multiLevelType w:val="hybridMultilevel"/>
    <w:tmpl w:val="5842678A"/>
    <w:lvl w:ilvl="0" w:tplc="DF26392E">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6BB5DE0"/>
    <w:multiLevelType w:val="hybridMultilevel"/>
    <w:tmpl w:val="56543C6A"/>
    <w:lvl w:ilvl="0" w:tplc="0409001B">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6C2344"/>
    <w:multiLevelType w:val="hybridMultilevel"/>
    <w:tmpl w:val="5AA02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844A0"/>
    <w:multiLevelType w:val="hybridMultilevel"/>
    <w:tmpl w:val="C8261258"/>
    <w:lvl w:ilvl="0" w:tplc="9BF20B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1326F35"/>
    <w:multiLevelType w:val="multilevel"/>
    <w:tmpl w:val="D4C65E62"/>
    <w:styleLink w:val="Appendixes"/>
    <w:lvl w:ilvl="0">
      <w:start w:val="1"/>
      <w:numFmt w:val="upperLetter"/>
      <w:suff w:val="space"/>
      <w:lvlText w:val="Appendix %1."/>
      <w:lvlJc w:val="left"/>
      <w:pPr>
        <w:ind w:left="0" w:firstLine="0"/>
      </w:pPr>
      <w:rPr>
        <w:rFonts w:asciiTheme="majorHAnsi" w:hAnsiTheme="majorHAnsi" w:hint="default"/>
        <w:b/>
        <w:sz w:val="40"/>
      </w:rPr>
    </w:lvl>
    <w:lvl w:ilvl="1">
      <w:start w:val="1"/>
      <w:numFmt w:val="none"/>
      <w:suff w:val="nothing"/>
      <w:lvlText w:val="%2"/>
      <w:lvlJc w:val="left"/>
      <w:pPr>
        <w:ind w:left="0" w:firstLine="0"/>
      </w:pPr>
      <w:rPr>
        <w:rFonts w:hint="default"/>
      </w:rPr>
    </w:lvl>
    <w:lvl w:ilvl="2">
      <w:start w:val="1"/>
      <w:numFmt w:val="none"/>
      <w:suff w:val="nothing"/>
      <w:lvlText w:val="%3"/>
      <w:lvlJc w:val="righ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righ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right"/>
      <w:pPr>
        <w:ind w:left="0" w:firstLine="0"/>
      </w:pPr>
      <w:rPr>
        <w:rFonts w:hint="default"/>
      </w:rPr>
    </w:lvl>
  </w:abstractNum>
  <w:abstractNum w:abstractNumId="16" w15:restartNumberingAfterBreak="0">
    <w:nsid w:val="4AF3068D"/>
    <w:multiLevelType w:val="hybridMultilevel"/>
    <w:tmpl w:val="F7E82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B51E2B"/>
    <w:multiLevelType w:val="hybridMultilevel"/>
    <w:tmpl w:val="F24259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F591737"/>
    <w:multiLevelType w:val="hybridMultilevel"/>
    <w:tmpl w:val="77DA5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3630A9"/>
    <w:multiLevelType w:val="hybridMultilevel"/>
    <w:tmpl w:val="18BE7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0A0D78"/>
    <w:multiLevelType w:val="multilevel"/>
    <w:tmpl w:val="2618F04C"/>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15:restartNumberingAfterBreak="0">
    <w:nsid w:val="68F1267B"/>
    <w:multiLevelType w:val="hybridMultilevel"/>
    <w:tmpl w:val="15222D28"/>
    <w:lvl w:ilvl="0" w:tplc="59F6B0F8">
      <w:start w:val="1"/>
      <w:numFmt w:val="decimal"/>
      <w:lvlText w:val="(%1)"/>
      <w:lvlJc w:val="left"/>
      <w:pPr>
        <w:ind w:left="1080" w:hanging="720"/>
      </w:pPr>
      <w:rPr>
        <w:rFonts w:hint="default"/>
      </w:rPr>
    </w:lvl>
    <w:lvl w:ilvl="1" w:tplc="BA969456">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580FB2"/>
    <w:multiLevelType w:val="hybridMultilevel"/>
    <w:tmpl w:val="9454C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137996"/>
    <w:multiLevelType w:val="multilevel"/>
    <w:tmpl w:val="012A118C"/>
    <w:lvl w:ilvl="0">
      <w:start w:val="1"/>
      <w:numFmt w:val="decimal"/>
      <w:pStyle w:val="ListNumber"/>
      <w:lvlText w:val="%1."/>
      <w:lvlJc w:val="left"/>
      <w:pPr>
        <w:ind w:left="720" w:hanging="360"/>
      </w:pPr>
      <w:rPr>
        <w:rFonts w:asciiTheme="minorHAnsi" w:hAnsiTheme="minorHAnsi" w:hint="default"/>
      </w:rPr>
    </w:lvl>
    <w:lvl w:ilvl="1">
      <w:start w:val="1"/>
      <w:numFmt w:val="upperLetter"/>
      <w:lvlText w:val="%2."/>
      <w:lvlJc w:val="left"/>
      <w:pPr>
        <w:ind w:left="1080" w:hanging="360"/>
      </w:pPr>
      <w:rPr>
        <w:rFonts w:asciiTheme="minorHAnsi" w:hAnsiTheme="minorHAnsi" w:hint="default"/>
      </w:rPr>
    </w:lvl>
    <w:lvl w:ilvl="2">
      <w:start w:val="1"/>
      <w:numFmt w:val="lowerLetter"/>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upperLetter"/>
      <w:suff w:val="space"/>
      <w:lvlText w:val="(%5)"/>
      <w:lvlJc w:val="left"/>
      <w:pPr>
        <w:ind w:left="2160" w:hanging="360"/>
      </w:pPr>
      <w:rPr>
        <w:rFonts w:asciiTheme="minorHAnsi" w:hAnsiTheme="minorHAnsi" w:hint="default"/>
      </w:rPr>
    </w:lvl>
    <w:lvl w:ilvl="5">
      <w:start w:val="1"/>
      <w:numFmt w:val="lowerLetter"/>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4" w15:restartNumberingAfterBreak="0">
    <w:nsid w:val="769E4E14"/>
    <w:multiLevelType w:val="hybridMultilevel"/>
    <w:tmpl w:val="7D209596"/>
    <w:lvl w:ilvl="0" w:tplc="0409000F">
      <w:start w:val="1"/>
      <w:numFmt w:val="decimal"/>
      <w:lvlText w:val="%1."/>
      <w:lvlJc w:val="left"/>
      <w:pPr>
        <w:ind w:left="1080" w:hanging="720"/>
      </w:pPr>
      <w:rPr>
        <w:rFonts w:hint="default"/>
      </w:rPr>
    </w:lvl>
    <w:lvl w:ilvl="1" w:tplc="9BF20B0C">
      <w:start w:val="1"/>
      <w:numFmt w:val="lowerLetter"/>
      <w:lvlText w:val="%2)"/>
      <w:lvlJc w:val="left"/>
      <w:pPr>
        <w:ind w:left="1800" w:hanging="720"/>
      </w:pPr>
      <w:rPr>
        <w:rFonts w:hint="default"/>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3D12F6"/>
    <w:multiLevelType w:val="hybridMultilevel"/>
    <w:tmpl w:val="23C83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8983">
    <w:abstractNumId w:val="10"/>
  </w:num>
  <w:num w:numId="2" w16cid:durableId="1366326063">
    <w:abstractNumId w:val="20"/>
  </w:num>
  <w:num w:numId="3" w16cid:durableId="1501584722">
    <w:abstractNumId w:val="7"/>
  </w:num>
  <w:num w:numId="4" w16cid:durableId="716393513">
    <w:abstractNumId w:val="15"/>
  </w:num>
  <w:num w:numId="5" w16cid:durableId="872766333">
    <w:abstractNumId w:val="0"/>
  </w:num>
  <w:num w:numId="6" w16cid:durableId="1389114719">
    <w:abstractNumId w:val="23"/>
  </w:num>
  <w:num w:numId="7" w16cid:durableId="1916431161">
    <w:abstractNumId w:val="13"/>
  </w:num>
  <w:num w:numId="8" w16cid:durableId="1467089556">
    <w:abstractNumId w:val="9"/>
  </w:num>
  <w:num w:numId="9" w16cid:durableId="49421459">
    <w:abstractNumId w:val="18"/>
  </w:num>
  <w:num w:numId="10" w16cid:durableId="404642238">
    <w:abstractNumId w:val="2"/>
  </w:num>
  <w:num w:numId="11" w16cid:durableId="1689065330">
    <w:abstractNumId w:val="6"/>
  </w:num>
  <w:num w:numId="12" w16cid:durableId="1559589495">
    <w:abstractNumId w:val="25"/>
  </w:num>
  <w:num w:numId="13" w16cid:durableId="2045671058">
    <w:abstractNumId w:val="8"/>
  </w:num>
  <w:num w:numId="14" w16cid:durableId="512498008">
    <w:abstractNumId w:val="22"/>
  </w:num>
  <w:num w:numId="15" w16cid:durableId="755438935">
    <w:abstractNumId w:val="19"/>
  </w:num>
  <w:num w:numId="16" w16cid:durableId="1105417370">
    <w:abstractNumId w:val="24"/>
  </w:num>
  <w:num w:numId="17" w16cid:durableId="1862090986">
    <w:abstractNumId w:val="5"/>
  </w:num>
  <w:num w:numId="18" w16cid:durableId="983892337">
    <w:abstractNumId w:val="3"/>
  </w:num>
  <w:num w:numId="19" w16cid:durableId="144703828">
    <w:abstractNumId w:val="4"/>
  </w:num>
  <w:num w:numId="20" w16cid:durableId="1438671085">
    <w:abstractNumId w:val="21"/>
  </w:num>
  <w:num w:numId="21" w16cid:durableId="525484611">
    <w:abstractNumId w:val="12"/>
  </w:num>
  <w:num w:numId="22" w16cid:durableId="1802188257">
    <w:abstractNumId w:val="11"/>
  </w:num>
  <w:num w:numId="23" w16cid:durableId="2026470675">
    <w:abstractNumId w:val="1"/>
  </w:num>
  <w:num w:numId="24" w16cid:durableId="324624532">
    <w:abstractNumId w:val="16"/>
  </w:num>
  <w:num w:numId="25" w16cid:durableId="525338085">
    <w:abstractNumId w:val="14"/>
  </w:num>
  <w:num w:numId="26" w16cid:durableId="149904402">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404" w:allStyles="0" w:customStyles="0" w:latentStyles="1" w:stylesInUse="0" w:headingStyles="0"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numFmt w:val="lowerLetter"/>
    <w:footnote w:id="-1"/>
    <w:footnote w:id="0"/>
    <w:footnote w:id="1"/>
  </w:footnotePr>
  <w:endnotePr>
    <w:numFmt w:val="lowerLetter"/>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A8"/>
    <w:rsid w:val="00003611"/>
    <w:rsid w:val="0000543F"/>
    <w:rsid w:val="000062BC"/>
    <w:rsid w:val="00007426"/>
    <w:rsid w:val="000103D2"/>
    <w:rsid w:val="00010D65"/>
    <w:rsid w:val="00011424"/>
    <w:rsid w:val="0001203E"/>
    <w:rsid w:val="00013A64"/>
    <w:rsid w:val="00014493"/>
    <w:rsid w:val="00016FC6"/>
    <w:rsid w:val="000218F0"/>
    <w:rsid w:val="00021D62"/>
    <w:rsid w:val="0002300D"/>
    <w:rsid w:val="000233D8"/>
    <w:rsid w:val="00023599"/>
    <w:rsid w:val="00026B05"/>
    <w:rsid w:val="00035F74"/>
    <w:rsid w:val="00040E11"/>
    <w:rsid w:val="00043E3B"/>
    <w:rsid w:val="00050A4F"/>
    <w:rsid w:val="00051023"/>
    <w:rsid w:val="00052F3D"/>
    <w:rsid w:val="000548F5"/>
    <w:rsid w:val="00055CE3"/>
    <w:rsid w:val="000577F3"/>
    <w:rsid w:val="000607AA"/>
    <w:rsid w:val="00063416"/>
    <w:rsid w:val="00063C2A"/>
    <w:rsid w:val="00063D03"/>
    <w:rsid w:val="00065741"/>
    <w:rsid w:val="00067170"/>
    <w:rsid w:val="000674CE"/>
    <w:rsid w:val="000703EE"/>
    <w:rsid w:val="00070C4C"/>
    <w:rsid w:val="00072030"/>
    <w:rsid w:val="00076361"/>
    <w:rsid w:val="000809F0"/>
    <w:rsid w:val="000862F1"/>
    <w:rsid w:val="000873C7"/>
    <w:rsid w:val="00094714"/>
    <w:rsid w:val="000967CA"/>
    <w:rsid w:val="000A051C"/>
    <w:rsid w:val="000A0FE8"/>
    <w:rsid w:val="000A351D"/>
    <w:rsid w:val="000A5224"/>
    <w:rsid w:val="000B1F34"/>
    <w:rsid w:val="000B3071"/>
    <w:rsid w:val="000B3EA7"/>
    <w:rsid w:val="000C36D2"/>
    <w:rsid w:val="000C5FD5"/>
    <w:rsid w:val="000D0D26"/>
    <w:rsid w:val="000D16C6"/>
    <w:rsid w:val="000D2FC9"/>
    <w:rsid w:val="000D40EE"/>
    <w:rsid w:val="000D45FE"/>
    <w:rsid w:val="000D46AF"/>
    <w:rsid w:val="000D61EC"/>
    <w:rsid w:val="000E09DF"/>
    <w:rsid w:val="000E2261"/>
    <w:rsid w:val="000E2404"/>
    <w:rsid w:val="000E26FE"/>
    <w:rsid w:val="000E3BEC"/>
    <w:rsid w:val="000E59DE"/>
    <w:rsid w:val="000E6757"/>
    <w:rsid w:val="000E7BEF"/>
    <w:rsid w:val="000F02DF"/>
    <w:rsid w:val="000F2284"/>
    <w:rsid w:val="000F31B2"/>
    <w:rsid w:val="00101F54"/>
    <w:rsid w:val="00106034"/>
    <w:rsid w:val="00112AFA"/>
    <w:rsid w:val="00115744"/>
    <w:rsid w:val="00120FD8"/>
    <w:rsid w:val="00120FE0"/>
    <w:rsid w:val="00124226"/>
    <w:rsid w:val="0012458C"/>
    <w:rsid w:val="001261C3"/>
    <w:rsid w:val="00131B63"/>
    <w:rsid w:val="00133155"/>
    <w:rsid w:val="001334BD"/>
    <w:rsid w:val="00137245"/>
    <w:rsid w:val="00137306"/>
    <w:rsid w:val="00140D94"/>
    <w:rsid w:val="00141F81"/>
    <w:rsid w:val="0014577F"/>
    <w:rsid w:val="00147A67"/>
    <w:rsid w:val="00147BCA"/>
    <w:rsid w:val="00150FA5"/>
    <w:rsid w:val="00155671"/>
    <w:rsid w:val="001607C2"/>
    <w:rsid w:val="00162344"/>
    <w:rsid w:val="00162419"/>
    <w:rsid w:val="001632AF"/>
    <w:rsid w:val="00167592"/>
    <w:rsid w:val="001706ED"/>
    <w:rsid w:val="0017226E"/>
    <w:rsid w:val="0018158C"/>
    <w:rsid w:val="0018390A"/>
    <w:rsid w:val="00184A85"/>
    <w:rsid w:val="00187A0A"/>
    <w:rsid w:val="00193BF4"/>
    <w:rsid w:val="00194EFC"/>
    <w:rsid w:val="00195162"/>
    <w:rsid w:val="00195F32"/>
    <w:rsid w:val="00196C80"/>
    <w:rsid w:val="001A5B22"/>
    <w:rsid w:val="001A6214"/>
    <w:rsid w:val="001A75D9"/>
    <w:rsid w:val="001B0250"/>
    <w:rsid w:val="001B4DEB"/>
    <w:rsid w:val="001B6264"/>
    <w:rsid w:val="001C0F7D"/>
    <w:rsid w:val="001C2741"/>
    <w:rsid w:val="001C5FAC"/>
    <w:rsid w:val="001D0676"/>
    <w:rsid w:val="001D1136"/>
    <w:rsid w:val="001D2E60"/>
    <w:rsid w:val="001D3E0C"/>
    <w:rsid w:val="001D5407"/>
    <w:rsid w:val="001E0C49"/>
    <w:rsid w:val="001E766E"/>
    <w:rsid w:val="001F1D4F"/>
    <w:rsid w:val="001F53CD"/>
    <w:rsid w:val="00200CCE"/>
    <w:rsid w:val="0020275A"/>
    <w:rsid w:val="00205987"/>
    <w:rsid w:val="00205CC6"/>
    <w:rsid w:val="00207A41"/>
    <w:rsid w:val="00212C23"/>
    <w:rsid w:val="00214CA9"/>
    <w:rsid w:val="00216659"/>
    <w:rsid w:val="00217ECE"/>
    <w:rsid w:val="0022030F"/>
    <w:rsid w:val="00222BE1"/>
    <w:rsid w:val="002236D2"/>
    <w:rsid w:val="0022589C"/>
    <w:rsid w:val="00226255"/>
    <w:rsid w:val="002265D6"/>
    <w:rsid w:val="0023332D"/>
    <w:rsid w:val="00233D7C"/>
    <w:rsid w:val="00240670"/>
    <w:rsid w:val="00240C16"/>
    <w:rsid w:val="0024161A"/>
    <w:rsid w:val="0024184C"/>
    <w:rsid w:val="00243BCA"/>
    <w:rsid w:val="0024423B"/>
    <w:rsid w:val="00246352"/>
    <w:rsid w:val="002469CE"/>
    <w:rsid w:val="00250227"/>
    <w:rsid w:val="00250F08"/>
    <w:rsid w:val="00252900"/>
    <w:rsid w:val="00253740"/>
    <w:rsid w:val="002542B4"/>
    <w:rsid w:val="00261952"/>
    <w:rsid w:val="00265480"/>
    <w:rsid w:val="0026648C"/>
    <w:rsid w:val="00275511"/>
    <w:rsid w:val="00276923"/>
    <w:rsid w:val="002816C4"/>
    <w:rsid w:val="00282C50"/>
    <w:rsid w:val="00284262"/>
    <w:rsid w:val="00286D31"/>
    <w:rsid w:val="00292763"/>
    <w:rsid w:val="00292DDC"/>
    <w:rsid w:val="00297272"/>
    <w:rsid w:val="002A11CA"/>
    <w:rsid w:val="002A2090"/>
    <w:rsid w:val="002A38DC"/>
    <w:rsid w:val="002A4F8B"/>
    <w:rsid w:val="002A5063"/>
    <w:rsid w:val="002A672A"/>
    <w:rsid w:val="002A784D"/>
    <w:rsid w:val="002B1A80"/>
    <w:rsid w:val="002B3982"/>
    <w:rsid w:val="002B6788"/>
    <w:rsid w:val="002B7A06"/>
    <w:rsid w:val="002C473C"/>
    <w:rsid w:val="002C7496"/>
    <w:rsid w:val="002D0FDC"/>
    <w:rsid w:val="002D1FD0"/>
    <w:rsid w:val="002D4740"/>
    <w:rsid w:val="002D72E1"/>
    <w:rsid w:val="002E219E"/>
    <w:rsid w:val="002E2979"/>
    <w:rsid w:val="002E4D45"/>
    <w:rsid w:val="002E6BED"/>
    <w:rsid w:val="002E77BD"/>
    <w:rsid w:val="002F0249"/>
    <w:rsid w:val="002F0DB1"/>
    <w:rsid w:val="002F1503"/>
    <w:rsid w:val="002F164D"/>
    <w:rsid w:val="002F3BCD"/>
    <w:rsid w:val="00303BBD"/>
    <w:rsid w:val="00311A03"/>
    <w:rsid w:val="00311B29"/>
    <w:rsid w:val="003122AA"/>
    <w:rsid w:val="00324000"/>
    <w:rsid w:val="00325916"/>
    <w:rsid w:val="00327482"/>
    <w:rsid w:val="00333D56"/>
    <w:rsid w:val="00333E51"/>
    <w:rsid w:val="00336C64"/>
    <w:rsid w:val="003404E9"/>
    <w:rsid w:val="00341604"/>
    <w:rsid w:val="00341CFE"/>
    <w:rsid w:val="00344354"/>
    <w:rsid w:val="00345BE3"/>
    <w:rsid w:val="00345E37"/>
    <w:rsid w:val="003462D6"/>
    <w:rsid w:val="0034659E"/>
    <w:rsid w:val="0034665D"/>
    <w:rsid w:val="00346B9E"/>
    <w:rsid w:val="003559E8"/>
    <w:rsid w:val="00357C8B"/>
    <w:rsid w:val="00363808"/>
    <w:rsid w:val="00363A66"/>
    <w:rsid w:val="003647A9"/>
    <w:rsid w:val="003653CA"/>
    <w:rsid w:val="003662ED"/>
    <w:rsid w:val="00366895"/>
    <w:rsid w:val="0036786C"/>
    <w:rsid w:val="00371424"/>
    <w:rsid w:val="00371516"/>
    <w:rsid w:val="0037247F"/>
    <w:rsid w:val="003768D1"/>
    <w:rsid w:val="0038091E"/>
    <w:rsid w:val="00381FA4"/>
    <w:rsid w:val="00392420"/>
    <w:rsid w:val="00395575"/>
    <w:rsid w:val="003A642A"/>
    <w:rsid w:val="003A7A69"/>
    <w:rsid w:val="003A7E27"/>
    <w:rsid w:val="003B0B9F"/>
    <w:rsid w:val="003B2606"/>
    <w:rsid w:val="003C6D01"/>
    <w:rsid w:val="003C7B54"/>
    <w:rsid w:val="003D19E6"/>
    <w:rsid w:val="003D3B8E"/>
    <w:rsid w:val="003D57C7"/>
    <w:rsid w:val="003D5D0A"/>
    <w:rsid w:val="003D6575"/>
    <w:rsid w:val="003E0050"/>
    <w:rsid w:val="003E1998"/>
    <w:rsid w:val="003E37EC"/>
    <w:rsid w:val="003E41FF"/>
    <w:rsid w:val="003F18EE"/>
    <w:rsid w:val="003F1A7D"/>
    <w:rsid w:val="003F22C2"/>
    <w:rsid w:val="003F23B9"/>
    <w:rsid w:val="003F47C0"/>
    <w:rsid w:val="004003B1"/>
    <w:rsid w:val="0040191F"/>
    <w:rsid w:val="0040212C"/>
    <w:rsid w:val="004048AB"/>
    <w:rsid w:val="004053B3"/>
    <w:rsid w:val="0040651B"/>
    <w:rsid w:val="00411960"/>
    <w:rsid w:val="00413FA5"/>
    <w:rsid w:val="004157CA"/>
    <w:rsid w:val="0041763B"/>
    <w:rsid w:val="004226B9"/>
    <w:rsid w:val="00425266"/>
    <w:rsid w:val="00436073"/>
    <w:rsid w:val="0043634D"/>
    <w:rsid w:val="004365A5"/>
    <w:rsid w:val="0043784B"/>
    <w:rsid w:val="004379C5"/>
    <w:rsid w:val="0044042D"/>
    <w:rsid w:val="004405E9"/>
    <w:rsid w:val="004429B3"/>
    <w:rsid w:val="00444527"/>
    <w:rsid w:val="0044514E"/>
    <w:rsid w:val="00445998"/>
    <w:rsid w:val="00446B09"/>
    <w:rsid w:val="00446D4D"/>
    <w:rsid w:val="004476CF"/>
    <w:rsid w:val="00447838"/>
    <w:rsid w:val="00447BF4"/>
    <w:rsid w:val="0045240D"/>
    <w:rsid w:val="00453736"/>
    <w:rsid w:val="00454729"/>
    <w:rsid w:val="00463E92"/>
    <w:rsid w:val="00466DB0"/>
    <w:rsid w:val="00470EC4"/>
    <w:rsid w:val="00475AD4"/>
    <w:rsid w:val="00476A05"/>
    <w:rsid w:val="00476A13"/>
    <w:rsid w:val="00477039"/>
    <w:rsid w:val="00477E88"/>
    <w:rsid w:val="00480D71"/>
    <w:rsid w:val="00481005"/>
    <w:rsid w:val="00482A16"/>
    <w:rsid w:val="00484EF2"/>
    <w:rsid w:val="00485ACF"/>
    <w:rsid w:val="004868C4"/>
    <w:rsid w:val="00492105"/>
    <w:rsid w:val="00495F99"/>
    <w:rsid w:val="00496A63"/>
    <w:rsid w:val="00496A72"/>
    <w:rsid w:val="00497365"/>
    <w:rsid w:val="00497A2E"/>
    <w:rsid w:val="004A14DE"/>
    <w:rsid w:val="004A3D90"/>
    <w:rsid w:val="004A5EE8"/>
    <w:rsid w:val="004B0519"/>
    <w:rsid w:val="004B0F55"/>
    <w:rsid w:val="004B2314"/>
    <w:rsid w:val="004B2F5D"/>
    <w:rsid w:val="004C051B"/>
    <w:rsid w:val="004C12F7"/>
    <w:rsid w:val="004C39F6"/>
    <w:rsid w:val="004C4488"/>
    <w:rsid w:val="004C4A87"/>
    <w:rsid w:val="004C58EA"/>
    <w:rsid w:val="004C6BC3"/>
    <w:rsid w:val="004C7ABA"/>
    <w:rsid w:val="004D0536"/>
    <w:rsid w:val="004D5A9A"/>
    <w:rsid w:val="004D7F37"/>
    <w:rsid w:val="004E1885"/>
    <w:rsid w:val="004E1C5C"/>
    <w:rsid w:val="004E2F07"/>
    <w:rsid w:val="004E6AD9"/>
    <w:rsid w:val="004E7101"/>
    <w:rsid w:val="004E72E4"/>
    <w:rsid w:val="004E7CA9"/>
    <w:rsid w:val="004F2A89"/>
    <w:rsid w:val="004F6010"/>
    <w:rsid w:val="005013B2"/>
    <w:rsid w:val="00502770"/>
    <w:rsid w:val="00504FD0"/>
    <w:rsid w:val="0050673D"/>
    <w:rsid w:val="00517D5E"/>
    <w:rsid w:val="00521CD8"/>
    <w:rsid w:val="00521CFF"/>
    <w:rsid w:val="005347EF"/>
    <w:rsid w:val="00534CC0"/>
    <w:rsid w:val="00536D93"/>
    <w:rsid w:val="00543865"/>
    <w:rsid w:val="00552AEC"/>
    <w:rsid w:val="00552CFB"/>
    <w:rsid w:val="005574E1"/>
    <w:rsid w:val="00560155"/>
    <w:rsid w:val="005641B8"/>
    <w:rsid w:val="005659FD"/>
    <w:rsid w:val="00570AD5"/>
    <w:rsid w:val="005715B3"/>
    <w:rsid w:val="00574B33"/>
    <w:rsid w:val="00575689"/>
    <w:rsid w:val="005766BE"/>
    <w:rsid w:val="00576B0E"/>
    <w:rsid w:val="00580D2B"/>
    <w:rsid w:val="00581C85"/>
    <w:rsid w:val="005835E1"/>
    <w:rsid w:val="0059466F"/>
    <w:rsid w:val="005964F6"/>
    <w:rsid w:val="00597C6D"/>
    <w:rsid w:val="005A2D47"/>
    <w:rsid w:val="005A3508"/>
    <w:rsid w:val="005A3A2A"/>
    <w:rsid w:val="005A49E4"/>
    <w:rsid w:val="005A6BC4"/>
    <w:rsid w:val="005A7B40"/>
    <w:rsid w:val="005B75BA"/>
    <w:rsid w:val="005C1880"/>
    <w:rsid w:val="005C1FE3"/>
    <w:rsid w:val="005C2739"/>
    <w:rsid w:val="005C4C60"/>
    <w:rsid w:val="005C7B8F"/>
    <w:rsid w:val="005D2437"/>
    <w:rsid w:val="005D5CA6"/>
    <w:rsid w:val="005D6728"/>
    <w:rsid w:val="005D7531"/>
    <w:rsid w:val="005D7C97"/>
    <w:rsid w:val="005E1BE7"/>
    <w:rsid w:val="005E2106"/>
    <w:rsid w:val="005E210C"/>
    <w:rsid w:val="005E23B5"/>
    <w:rsid w:val="005E6203"/>
    <w:rsid w:val="005E6F74"/>
    <w:rsid w:val="005F0498"/>
    <w:rsid w:val="005F18C3"/>
    <w:rsid w:val="005F2FCD"/>
    <w:rsid w:val="005F40F1"/>
    <w:rsid w:val="005F43A8"/>
    <w:rsid w:val="005F4DF0"/>
    <w:rsid w:val="005F54F5"/>
    <w:rsid w:val="005F6443"/>
    <w:rsid w:val="00600011"/>
    <w:rsid w:val="00607A52"/>
    <w:rsid w:val="00613EF4"/>
    <w:rsid w:val="00614323"/>
    <w:rsid w:val="00617CDD"/>
    <w:rsid w:val="00620600"/>
    <w:rsid w:val="00624426"/>
    <w:rsid w:val="00626A22"/>
    <w:rsid w:val="00630425"/>
    <w:rsid w:val="00630558"/>
    <w:rsid w:val="006337BD"/>
    <w:rsid w:val="0063406F"/>
    <w:rsid w:val="006343EC"/>
    <w:rsid w:val="00635C80"/>
    <w:rsid w:val="00636EB9"/>
    <w:rsid w:val="00640B3E"/>
    <w:rsid w:val="00642CB7"/>
    <w:rsid w:val="006438F3"/>
    <w:rsid w:val="00644412"/>
    <w:rsid w:val="006454B2"/>
    <w:rsid w:val="00645F51"/>
    <w:rsid w:val="00646B76"/>
    <w:rsid w:val="00646FB0"/>
    <w:rsid w:val="0065297C"/>
    <w:rsid w:val="00652D14"/>
    <w:rsid w:val="00653215"/>
    <w:rsid w:val="00654295"/>
    <w:rsid w:val="006578CF"/>
    <w:rsid w:val="00657F73"/>
    <w:rsid w:val="00660D1E"/>
    <w:rsid w:val="00660E58"/>
    <w:rsid w:val="00664507"/>
    <w:rsid w:val="00664554"/>
    <w:rsid w:val="006645DD"/>
    <w:rsid w:val="00666716"/>
    <w:rsid w:val="00666970"/>
    <w:rsid w:val="00666C40"/>
    <w:rsid w:val="006675D9"/>
    <w:rsid w:val="006678BD"/>
    <w:rsid w:val="00673C58"/>
    <w:rsid w:val="00675B50"/>
    <w:rsid w:val="00675B75"/>
    <w:rsid w:val="00675DEC"/>
    <w:rsid w:val="00677B5D"/>
    <w:rsid w:val="00680CCA"/>
    <w:rsid w:val="006817E3"/>
    <w:rsid w:val="0068235D"/>
    <w:rsid w:val="00683760"/>
    <w:rsid w:val="00683B9D"/>
    <w:rsid w:val="006853DE"/>
    <w:rsid w:val="0068590E"/>
    <w:rsid w:val="00685F1D"/>
    <w:rsid w:val="00686460"/>
    <w:rsid w:val="0069038E"/>
    <w:rsid w:val="0069232E"/>
    <w:rsid w:val="00692774"/>
    <w:rsid w:val="00693C3C"/>
    <w:rsid w:val="00696CFF"/>
    <w:rsid w:val="006A0449"/>
    <w:rsid w:val="006A143E"/>
    <w:rsid w:val="006A62F6"/>
    <w:rsid w:val="006A6FC9"/>
    <w:rsid w:val="006B00B9"/>
    <w:rsid w:val="006B149D"/>
    <w:rsid w:val="006B514F"/>
    <w:rsid w:val="006C4EFB"/>
    <w:rsid w:val="006D0D91"/>
    <w:rsid w:val="006D197A"/>
    <w:rsid w:val="006E1457"/>
    <w:rsid w:val="006E2D2A"/>
    <w:rsid w:val="006F442D"/>
    <w:rsid w:val="00701B23"/>
    <w:rsid w:val="00701D1D"/>
    <w:rsid w:val="007102AE"/>
    <w:rsid w:val="00712048"/>
    <w:rsid w:val="00713994"/>
    <w:rsid w:val="007167DD"/>
    <w:rsid w:val="00720A88"/>
    <w:rsid w:val="00720FE4"/>
    <w:rsid w:val="00724434"/>
    <w:rsid w:val="00724CD7"/>
    <w:rsid w:val="00725FCA"/>
    <w:rsid w:val="007336E3"/>
    <w:rsid w:val="00741583"/>
    <w:rsid w:val="007419EF"/>
    <w:rsid w:val="00741D65"/>
    <w:rsid w:val="00744818"/>
    <w:rsid w:val="00745761"/>
    <w:rsid w:val="00747A6B"/>
    <w:rsid w:val="00752A74"/>
    <w:rsid w:val="00754858"/>
    <w:rsid w:val="00762C86"/>
    <w:rsid w:val="00764A84"/>
    <w:rsid w:val="007700F9"/>
    <w:rsid w:val="007723D6"/>
    <w:rsid w:val="00775875"/>
    <w:rsid w:val="0077619E"/>
    <w:rsid w:val="00776D4A"/>
    <w:rsid w:val="00782436"/>
    <w:rsid w:val="007948E6"/>
    <w:rsid w:val="00797842"/>
    <w:rsid w:val="007A0EDF"/>
    <w:rsid w:val="007A2EC9"/>
    <w:rsid w:val="007A3F22"/>
    <w:rsid w:val="007A5387"/>
    <w:rsid w:val="007A5FDF"/>
    <w:rsid w:val="007A61A8"/>
    <w:rsid w:val="007B0822"/>
    <w:rsid w:val="007B0FC3"/>
    <w:rsid w:val="007B13C7"/>
    <w:rsid w:val="007B2080"/>
    <w:rsid w:val="007B7CA4"/>
    <w:rsid w:val="007C06CC"/>
    <w:rsid w:val="007C24F7"/>
    <w:rsid w:val="007D5310"/>
    <w:rsid w:val="007D7ACE"/>
    <w:rsid w:val="007E0E78"/>
    <w:rsid w:val="007E5971"/>
    <w:rsid w:val="007F034F"/>
    <w:rsid w:val="007F14BF"/>
    <w:rsid w:val="00803D46"/>
    <w:rsid w:val="0080535A"/>
    <w:rsid w:val="00805776"/>
    <w:rsid w:val="008060E4"/>
    <w:rsid w:val="00807998"/>
    <w:rsid w:val="00813388"/>
    <w:rsid w:val="00813910"/>
    <w:rsid w:val="00814788"/>
    <w:rsid w:val="00815179"/>
    <w:rsid w:val="008154B0"/>
    <w:rsid w:val="008217D0"/>
    <w:rsid w:val="00823377"/>
    <w:rsid w:val="00823A08"/>
    <w:rsid w:val="00825AFD"/>
    <w:rsid w:val="00827D6B"/>
    <w:rsid w:val="00832814"/>
    <w:rsid w:val="008356BD"/>
    <w:rsid w:val="008370AE"/>
    <w:rsid w:val="00841ABA"/>
    <w:rsid w:val="00845291"/>
    <w:rsid w:val="00851874"/>
    <w:rsid w:val="00852739"/>
    <w:rsid w:val="00852D2D"/>
    <w:rsid w:val="00861C37"/>
    <w:rsid w:val="00863251"/>
    <w:rsid w:val="00863C3A"/>
    <w:rsid w:val="0087070E"/>
    <w:rsid w:val="00873180"/>
    <w:rsid w:val="008752E0"/>
    <w:rsid w:val="00877E4D"/>
    <w:rsid w:val="00881420"/>
    <w:rsid w:val="008819C1"/>
    <w:rsid w:val="0088425D"/>
    <w:rsid w:val="00894E45"/>
    <w:rsid w:val="00895D36"/>
    <w:rsid w:val="008A4146"/>
    <w:rsid w:val="008A6F0A"/>
    <w:rsid w:val="008B04B0"/>
    <w:rsid w:val="008B2B28"/>
    <w:rsid w:val="008B7276"/>
    <w:rsid w:val="008D00BD"/>
    <w:rsid w:val="008D094C"/>
    <w:rsid w:val="008D2FA6"/>
    <w:rsid w:val="008D34F9"/>
    <w:rsid w:val="008E02EC"/>
    <w:rsid w:val="008E0E20"/>
    <w:rsid w:val="008E2682"/>
    <w:rsid w:val="008E4837"/>
    <w:rsid w:val="008E558E"/>
    <w:rsid w:val="008E5F06"/>
    <w:rsid w:val="008E65D1"/>
    <w:rsid w:val="008E6A3A"/>
    <w:rsid w:val="008F035A"/>
    <w:rsid w:val="00903B1D"/>
    <w:rsid w:val="00904CCD"/>
    <w:rsid w:val="00905276"/>
    <w:rsid w:val="009078C9"/>
    <w:rsid w:val="00910F60"/>
    <w:rsid w:val="00911366"/>
    <w:rsid w:val="00911CD7"/>
    <w:rsid w:val="00913173"/>
    <w:rsid w:val="0091433D"/>
    <w:rsid w:val="00915845"/>
    <w:rsid w:val="00915C59"/>
    <w:rsid w:val="00921FA1"/>
    <w:rsid w:val="00924829"/>
    <w:rsid w:val="009272B8"/>
    <w:rsid w:val="009309B1"/>
    <w:rsid w:val="00930F4F"/>
    <w:rsid w:val="00935B96"/>
    <w:rsid w:val="00936462"/>
    <w:rsid w:val="00940B53"/>
    <w:rsid w:val="009444FF"/>
    <w:rsid w:val="0095140B"/>
    <w:rsid w:val="00955957"/>
    <w:rsid w:val="00955D22"/>
    <w:rsid w:val="00963D4D"/>
    <w:rsid w:val="0096447D"/>
    <w:rsid w:val="00966185"/>
    <w:rsid w:val="00966638"/>
    <w:rsid w:val="00967274"/>
    <w:rsid w:val="009676DC"/>
    <w:rsid w:val="009710F7"/>
    <w:rsid w:val="009712BE"/>
    <w:rsid w:val="00972050"/>
    <w:rsid w:val="009738A2"/>
    <w:rsid w:val="00973974"/>
    <w:rsid w:val="00975667"/>
    <w:rsid w:val="0097624B"/>
    <w:rsid w:val="00977CC3"/>
    <w:rsid w:val="009A05DC"/>
    <w:rsid w:val="009A1CE6"/>
    <w:rsid w:val="009A2133"/>
    <w:rsid w:val="009A32FC"/>
    <w:rsid w:val="009B0A1A"/>
    <w:rsid w:val="009B1EB0"/>
    <w:rsid w:val="009B4A79"/>
    <w:rsid w:val="009B6121"/>
    <w:rsid w:val="009B6B38"/>
    <w:rsid w:val="009B7993"/>
    <w:rsid w:val="009C0230"/>
    <w:rsid w:val="009C160A"/>
    <w:rsid w:val="009C18AC"/>
    <w:rsid w:val="009C71F0"/>
    <w:rsid w:val="009D2E0D"/>
    <w:rsid w:val="009D315F"/>
    <w:rsid w:val="009D368B"/>
    <w:rsid w:val="009D6E33"/>
    <w:rsid w:val="009D77D8"/>
    <w:rsid w:val="009D7B4D"/>
    <w:rsid w:val="009E2197"/>
    <w:rsid w:val="009E304A"/>
    <w:rsid w:val="009E338D"/>
    <w:rsid w:val="009E6DED"/>
    <w:rsid w:val="009F16C7"/>
    <w:rsid w:val="009F4852"/>
    <w:rsid w:val="00A004B7"/>
    <w:rsid w:val="00A01A7C"/>
    <w:rsid w:val="00A029C0"/>
    <w:rsid w:val="00A04070"/>
    <w:rsid w:val="00A05C85"/>
    <w:rsid w:val="00A10C89"/>
    <w:rsid w:val="00A1342A"/>
    <w:rsid w:val="00A147DE"/>
    <w:rsid w:val="00A16A5B"/>
    <w:rsid w:val="00A26F18"/>
    <w:rsid w:val="00A27FE9"/>
    <w:rsid w:val="00A3116C"/>
    <w:rsid w:val="00A34372"/>
    <w:rsid w:val="00A36A56"/>
    <w:rsid w:val="00A41606"/>
    <w:rsid w:val="00A430EC"/>
    <w:rsid w:val="00A43AE4"/>
    <w:rsid w:val="00A43DB6"/>
    <w:rsid w:val="00A471D3"/>
    <w:rsid w:val="00A500EB"/>
    <w:rsid w:val="00A51187"/>
    <w:rsid w:val="00A53142"/>
    <w:rsid w:val="00A561E5"/>
    <w:rsid w:val="00A57166"/>
    <w:rsid w:val="00A61916"/>
    <w:rsid w:val="00A63977"/>
    <w:rsid w:val="00A64FF6"/>
    <w:rsid w:val="00A65E36"/>
    <w:rsid w:val="00A70E8F"/>
    <w:rsid w:val="00A73EF7"/>
    <w:rsid w:val="00A80E0C"/>
    <w:rsid w:val="00A820FA"/>
    <w:rsid w:val="00A829B1"/>
    <w:rsid w:val="00A846CD"/>
    <w:rsid w:val="00A85B10"/>
    <w:rsid w:val="00A862F6"/>
    <w:rsid w:val="00A97690"/>
    <w:rsid w:val="00A97AE7"/>
    <w:rsid w:val="00AA084E"/>
    <w:rsid w:val="00AA268E"/>
    <w:rsid w:val="00AA3E9D"/>
    <w:rsid w:val="00AA623D"/>
    <w:rsid w:val="00AA6C61"/>
    <w:rsid w:val="00AA78B4"/>
    <w:rsid w:val="00AB0105"/>
    <w:rsid w:val="00AB3C8C"/>
    <w:rsid w:val="00AB5AAA"/>
    <w:rsid w:val="00AB5F66"/>
    <w:rsid w:val="00AC1FD4"/>
    <w:rsid w:val="00AC409C"/>
    <w:rsid w:val="00AC4CE6"/>
    <w:rsid w:val="00AC534F"/>
    <w:rsid w:val="00AC5586"/>
    <w:rsid w:val="00AD011E"/>
    <w:rsid w:val="00AD0374"/>
    <w:rsid w:val="00AD2BB7"/>
    <w:rsid w:val="00AD2FEF"/>
    <w:rsid w:val="00AD30A7"/>
    <w:rsid w:val="00AD39D6"/>
    <w:rsid w:val="00AD3EBC"/>
    <w:rsid w:val="00AD67B9"/>
    <w:rsid w:val="00AE43DC"/>
    <w:rsid w:val="00AE4B76"/>
    <w:rsid w:val="00AE7291"/>
    <w:rsid w:val="00AF016D"/>
    <w:rsid w:val="00AF2500"/>
    <w:rsid w:val="00AF2D0E"/>
    <w:rsid w:val="00AF56CD"/>
    <w:rsid w:val="00B0278A"/>
    <w:rsid w:val="00B0545B"/>
    <w:rsid w:val="00B11720"/>
    <w:rsid w:val="00B148D2"/>
    <w:rsid w:val="00B16DD2"/>
    <w:rsid w:val="00B2144C"/>
    <w:rsid w:val="00B21D84"/>
    <w:rsid w:val="00B2309F"/>
    <w:rsid w:val="00B2444D"/>
    <w:rsid w:val="00B24E43"/>
    <w:rsid w:val="00B26956"/>
    <w:rsid w:val="00B3227A"/>
    <w:rsid w:val="00B32CD1"/>
    <w:rsid w:val="00B32D99"/>
    <w:rsid w:val="00B42223"/>
    <w:rsid w:val="00B45EB7"/>
    <w:rsid w:val="00B46525"/>
    <w:rsid w:val="00B52478"/>
    <w:rsid w:val="00B55BD5"/>
    <w:rsid w:val="00B57FF2"/>
    <w:rsid w:val="00B62D6F"/>
    <w:rsid w:val="00B63753"/>
    <w:rsid w:val="00B64FAD"/>
    <w:rsid w:val="00B65A49"/>
    <w:rsid w:val="00B677CC"/>
    <w:rsid w:val="00B725ED"/>
    <w:rsid w:val="00B72E2D"/>
    <w:rsid w:val="00B735E0"/>
    <w:rsid w:val="00B806BE"/>
    <w:rsid w:val="00B82468"/>
    <w:rsid w:val="00B869EA"/>
    <w:rsid w:val="00B86E9A"/>
    <w:rsid w:val="00B87A46"/>
    <w:rsid w:val="00B945AB"/>
    <w:rsid w:val="00B95E56"/>
    <w:rsid w:val="00B96F98"/>
    <w:rsid w:val="00BA0C0D"/>
    <w:rsid w:val="00BA3755"/>
    <w:rsid w:val="00BA5BB8"/>
    <w:rsid w:val="00BA7242"/>
    <w:rsid w:val="00BA7C5E"/>
    <w:rsid w:val="00BA7E9C"/>
    <w:rsid w:val="00BB197B"/>
    <w:rsid w:val="00BB579E"/>
    <w:rsid w:val="00BB6E58"/>
    <w:rsid w:val="00BB73E4"/>
    <w:rsid w:val="00BB7A22"/>
    <w:rsid w:val="00BB7C07"/>
    <w:rsid w:val="00BC168E"/>
    <w:rsid w:val="00BC1D68"/>
    <w:rsid w:val="00BC3BCA"/>
    <w:rsid w:val="00BD08B2"/>
    <w:rsid w:val="00BD3BB9"/>
    <w:rsid w:val="00BD456B"/>
    <w:rsid w:val="00BD48FA"/>
    <w:rsid w:val="00BD616E"/>
    <w:rsid w:val="00BE23B2"/>
    <w:rsid w:val="00BE2B77"/>
    <w:rsid w:val="00BE3C9C"/>
    <w:rsid w:val="00BE47CD"/>
    <w:rsid w:val="00BE638A"/>
    <w:rsid w:val="00BE6FB7"/>
    <w:rsid w:val="00BE7F75"/>
    <w:rsid w:val="00BF1DB0"/>
    <w:rsid w:val="00BF3BC9"/>
    <w:rsid w:val="00BF601F"/>
    <w:rsid w:val="00BF6D98"/>
    <w:rsid w:val="00BF711D"/>
    <w:rsid w:val="00C01AF6"/>
    <w:rsid w:val="00C04629"/>
    <w:rsid w:val="00C04BC1"/>
    <w:rsid w:val="00C06165"/>
    <w:rsid w:val="00C06E76"/>
    <w:rsid w:val="00C079CD"/>
    <w:rsid w:val="00C1033B"/>
    <w:rsid w:val="00C16DE4"/>
    <w:rsid w:val="00C17453"/>
    <w:rsid w:val="00C22680"/>
    <w:rsid w:val="00C23CD6"/>
    <w:rsid w:val="00C24769"/>
    <w:rsid w:val="00C27580"/>
    <w:rsid w:val="00C27BFF"/>
    <w:rsid w:val="00C30FFE"/>
    <w:rsid w:val="00C31478"/>
    <w:rsid w:val="00C31DD1"/>
    <w:rsid w:val="00C34507"/>
    <w:rsid w:val="00C3569B"/>
    <w:rsid w:val="00C42992"/>
    <w:rsid w:val="00C476FA"/>
    <w:rsid w:val="00C52216"/>
    <w:rsid w:val="00C5242B"/>
    <w:rsid w:val="00C55070"/>
    <w:rsid w:val="00C562FA"/>
    <w:rsid w:val="00C60789"/>
    <w:rsid w:val="00C61558"/>
    <w:rsid w:val="00C6616D"/>
    <w:rsid w:val="00C6652F"/>
    <w:rsid w:val="00C70EE7"/>
    <w:rsid w:val="00C736E8"/>
    <w:rsid w:val="00C80E0B"/>
    <w:rsid w:val="00C8295F"/>
    <w:rsid w:val="00C85AE8"/>
    <w:rsid w:val="00C86AD3"/>
    <w:rsid w:val="00C86CAA"/>
    <w:rsid w:val="00C87574"/>
    <w:rsid w:val="00C901D7"/>
    <w:rsid w:val="00C905F9"/>
    <w:rsid w:val="00C91C55"/>
    <w:rsid w:val="00C92D80"/>
    <w:rsid w:val="00C94141"/>
    <w:rsid w:val="00C95FF4"/>
    <w:rsid w:val="00C9679D"/>
    <w:rsid w:val="00C968F8"/>
    <w:rsid w:val="00CA00A4"/>
    <w:rsid w:val="00CA1532"/>
    <w:rsid w:val="00CA55CF"/>
    <w:rsid w:val="00CA7F91"/>
    <w:rsid w:val="00CB08C9"/>
    <w:rsid w:val="00CB183F"/>
    <w:rsid w:val="00CC055A"/>
    <w:rsid w:val="00CC07E1"/>
    <w:rsid w:val="00CC0886"/>
    <w:rsid w:val="00CC0BDC"/>
    <w:rsid w:val="00CC1D3E"/>
    <w:rsid w:val="00CC493C"/>
    <w:rsid w:val="00CC5572"/>
    <w:rsid w:val="00CD308A"/>
    <w:rsid w:val="00CD344A"/>
    <w:rsid w:val="00CE3DFE"/>
    <w:rsid w:val="00CE5A79"/>
    <w:rsid w:val="00CE6D51"/>
    <w:rsid w:val="00CF0FBC"/>
    <w:rsid w:val="00CF13DF"/>
    <w:rsid w:val="00CF48AE"/>
    <w:rsid w:val="00CF6F6B"/>
    <w:rsid w:val="00D00518"/>
    <w:rsid w:val="00D034DE"/>
    <w:rsid w:val="00D072AE"/>
    <w:rsid w:val="00D0760C"/>
    <w:rsid w:val="00D1144E"/>
    <w:rsid w:val="00D14C17"/>
    <w:rsid w:val="00D16536"/>
    <w:rsid w:val="00D17D75"/>
    <w:rsid w:val="00D21E16"/>
    <w:rsid w:val="00D22C11"/>
    <w:rsid w:val="00D33CB7"/>
    <w:rsid w:val="00D35971"/>
    <w:rsid w:val="00D35F8D"/>
    <w:rsid w:val="00D3753A"/>
    <w:rsid w:val="00D37E78"/>
    <w:rsid w:val="00D400D8"/>
    <w:rsid w:val="00D40657"/>
    <w:rsid w:val="00D40983"/>
    <w:rsid w:val="00D41575"/>
    <w:rsid w:val="00D53D09"/>
    <w:rsid w:val="00D54ED3"/>
    <w:rsid w:val="00D55405"/>
    <w:rsid w:val="00D57BB5"/>
    <w:rsid w:val="00D60CEB"/>
    <w:rsid w:val="00D61983"/>
    <w:rsid w:val="00D7005B"/>
    <w:rsid w:val="00D70816"/>
    <w:rsid w:val="00D71A52"/>
    <w:rsid w:val="00D71C0A"/>
    <w:rsid w:val="00D778F1"/>
    <w:rsid w:val="00D8534C"/>
    <w:rsid w:val="00D86FBA"/>
    <w:rsid w:val="00D9281E"/>
    <w:rsid w:val="00D92CF7"/>
    <w:rsid w:val="00D93E92"/>
    <w:rsid w:val="00D978FD"/>
    <w:rsid w:val="00D97B9D"/>
    <w:rsid w:val="00DA0A59"/>
    <w:rsid w:val="00DA2675"/>
    <w:rsid w:val="00DA5884"/>
    <w:rsid w:val="00DA743E"/>
    <w:rsid w:val="00DA7574"/>
    <w:rsid w:val="00DA7F70"/>
    <w:rsid w:val="00DB0D37"/>
    <w:rsid w:val="00DB1903"/>
    <w:rsid w:val="00DB1DCF"/>
    <w:rsid w:val="00DB35DD"/>
    <w:rsid w:val="00DC0555"/>
    <w:rsid w:val="00DC1EA3"/>
    <w:rsid w:val="00DC2FC7"/>
    <w:rsid w:val="00DC3CC4"/>
    <w:rsid w:val="00DC4D89"/>
    <w:rsid w:val="00DC506B"/>
    <w:rsid w:val="00DC5B8B"/>
    <w:rsid w:val="00DC71ED"/>
    <w:rsid w:val="00DD19A0"/>
    <w:rsid w:val="00DD1AA1"/>
    <w:rsid w:val="00DD79FB"/>
    <w:rsid w:val="00DE1A1F"/>
    <w:rsid w:val="00DE4A9A"/>
    <w:rsid w:val="00DE7077"/>
    <w:rsid w:val="00DE7E43"/>
    <w:rsid w:val="00DF2B59"/>
    <w:rsid w:val="00DF595B"/>
    <w:rsid w:val="00E03808"/>
    <w:rsid w:val="00E064DE"/>
    <w:rsid w:val="00E13888"/>
    <w:rsid w:val="00E168FC"/>
    <w:rsid w:val="00E215B3"/>
    <w:rsid w:val="00E22284"/>
    <w:rsid w:val="00E2551A"/>
    <w:rsid w:val="00E25D68"/>
    <w:rsid w:val="00E2636D"/>
    <w:rsid w:val="00E265B7"/>
    <w:rsid w:val="00E30957"/>
    <w:rsid w:val="00E3107C"/>
    <w:rsid w:val="00E32C2F"/>
    <w:rsid w:val="00E34C90"/>
    <w:rsid w:val="00E40622"/>
    <w:rsid w:val="00E431B1"/>
    <w:rsid w:val="00E43269"/>
    <w:rsid w:val="00E448C0"/>
    <w:rsid w:val="00E44D4D"/>
    <w:rsid w:val="00E45CB6"/>
    <w:rsid w:val="00E51DD5"/>
    <w:rsid w:val="00E54204"/>
    <w:rsid w:val="00E60FF3"/>
    <w:rsid w:val="00E62046"/>
    <w:rsid w:val="00E64D3B"/>
    <w:rsid w:val="00E71D00"/>
    <w:rsid w:val="00E7256F"/>
    <w:rsid w:val="00E76A50"/>
    <w:rsid w:val="00E77096"/>
    <w:rsid w:val="00E803C2"/>
    <w:rsid w:val="00E83467"/>
    <w:rsid w:val="00E84477"/>
    <w:rsid w:val="00E87951"/>
    <w:rsid w:val="00E90462"/>
    <w:rsid w:val="00E975F3"/>
    <w:rsid w:val="00E97994"/>
    <w:rsid w:val="00EA1AFB"/>
    <w:rsid w:val="00EA240A"/>
    <w:rsid w:val="00EA7452"/>
    <w:rsid w:val="00EB4751"/>
    <w:rsid w:val="00EB4D8F"/>
    <w:rsid w:val="00EB714B"/>
    <w:rsid w:val="00EB7BDE"/>
    <w:rsid w:val="00EC41D2"/>
    <w:rsid w:val="00ED0680"/>
    <w:rsid w:val="00ED0D6C"/>
    <w:rsid w:val="00ED1AC2"/>
    <w:rsid w:val="00ED1F1F"/>
    <w:rsid w:val="00ED38DA"/>
    <w:rsid w:val="00ED569B"/>
    <w:rsid w:val="00EE016A"/>
    <w:rsid w:val="00EE074F"/>
    <w:rsid w:val="00EE12C3"/>
    <w:rsid w:val="00EE3D78"/>
    <w:rsid w:val="00EE4A5E"/>
    <w:rsid w:val="00EE4F4A"/>
    <w:rsid w:val="00EE6AA0"/>
    <w:rsid w:val="00EE7D41"/>
    <w:rsid w:val="00EF0202"/>
    <w:rsid w:val="00EF2CFE"/>
    <w:rsid w:val="00EF4F72"/>
    <w:rsid w:val="00EF4FF9"/>
    <w:rsid w:val="00EF73F5"/>
    <w:rsid w:val="00F014F6"/>
    <w:rsid w:val="00F01599"/>
    <w:rsid w:val="00F0415C"/>
    <w:rsid w:val="00F05312"/>
    <w:rsid w:val="00F100C9"/>
    <w:rsid w:val="00F1094B"/>
    <w:rsid w:val="00F1259D"/>
    <w:rsid w:val="00F171AA"/>
    <w:rsid w:val="00F21889"/>
    <w:rsid w:val="00F21EEC"/>
    <w:rsid w:val="00F22827"/>
    <w:rsid w:val="00F243C2"/>
    <w:rsid w:val="00F25C87"/>
    <w:rsid w:val="00F26674"/>
    <w:rsid w:val="00F26E69"/>
    <w:rsid w:val="00F30535"/>
    <w:rsid w:val="00F31FE0"/>
    <w:rsid w:val="00F34ED5"/>
    <w:rsid w:val="00F411D2"/>
    <w:rsid w:val="00F420D8"/>
    <w:rsid w:val="00F4653C"/>
    <w:rsid w:val="00F509A0"/>
    <w:rsid w:val="00F54A70"/>
    <w:rsid w:val="00F55719"/>
    <w:rsid w:val="00F5710A"/>
    <w:rsid w:val="00F6486C"/>
    <w:rsid w:val="00F65E72"/>
    <w:rsid w:val="00F6703C"/>
    <w:rsid w:val="00F717C4"/>
    <w:rsid w:val="00F72136"/>
    <w:rsid w:val="00F72C46"/>
    <w:rsid w:val="00F7453B"/>
    <w:rsid w:val="00F74B49"/>
    <w:rsid w:val="00F7685D"/>
    <w:rsid w:val="00F77E4E"/>
    <w:rsid w:val="00F8071E"/>
    <w:rsid w:val="00F82544"/>
    <w:rsid w:val="00F84651"/>
    <w:rsid w:val="00F85D32"/>
    <w:rsid w:val="00F86263"/>
    <w:rsid w:val="00F92EC1"/>
    <w:rsid w:val="00F9445A"/>
    <w:rsid w:val="00F94732"/>
    <w:rsid w:val="00F94B47"/>
    <w:rsid w:val="00F950FA"/>
    <w:rsid w:val="00F976EC"/>
    <w:rsid w:val="00FA1F9A"/>
    <w:rsid w:val="00FA29AA"/>
    <w:rsid w:val="00FA46C9"/>
    <w:rsid w:val="00FB2C37"/>
    <w:rsid w:val="00FB2E2D"/>
    <w:rsid w:val="00FC05F9"/>
    <w:rsid w:val="00FC572C"/>
    <w:rsid w:val="00FD079D"/>
    <w:rsid w:val="00FD3AD2"/>
    <w:rsid w:val="00FD499D"/>
    <w:rsid w:val="00FD5191"/>
    <w:rsid w:val="00FD7A50"/>
    <w:rsid w:val="00FE2902"/>
    <w:rsid w:val="00FE5F97"/>
    <w:rsid w:val="00FF3E95"/>
    <w:rsid w:val="00FF472B"/>
    <w:rsid w:val="00FF60E5"/>
    <w:rsid w:val="00FF61F5"/>
    <w:rsid w:val="1D667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084E1"/>
  <w15:chartTrackingRefBased/>
  <w15:docId w15:val="{15E41241-8C05-457E-A2C7-D097FC2A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0" w:unhideWhenUsed="1"/>
    <w:lsdException w:name="header" w:semiHidden="1" w:uiPriority="49"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6" w:unhideWhenUsed="1" w:qFormat="1"/>
    <w:lsdException w:name="FollowedHyperlink" w:semiHidden="1" w:unhideWhenUsed="1"/>
    <w:lsdException w:name="Strong" w:uiPriority="3"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6"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unhideWhenUsed="1"/>
    <w:lsdException w:name="Bibliography" w:semiHidden="1" w:unhideWhenUsed="1"/>
    <w:lsdException w:name="TOC Heading" w:semiHidden="1" w:uiPriority="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semiHidden/>
    <w:rsid w:val="002B7A06"/>
    <w:rPr>
      <w:szCs w:val="20"/>
    </w:rPr>
  </w:style>
  <w:style w:type="paragraph" w:styleId="Heading1">
    <w:name w:val="heading 1"/>
    <w:next w:val="BodyTextafterheading"/>
    <w:link w:val="Heading1Char"/>
    <w:rsid w:val="00A430EC"/>
    <w:pPr>
      <w:keepNext/>
      <w:keepLines/>
      <w:spacing w:before="480" w:after="120" w:line="288" w:lineRule="auto"/>
      <w:jc w:val="center"/>
      <w:outlineLvl w:val="0"/>
    </w:pPr>
    <w:rPr>
      <w:rFonts w:asciiTheme="majorHAnsi" w:eastAsiaTheme="majorEastAsia" w:hAnsiTheme="majorHAnsi" w:cs="Arial"/>
      <w:b/>
      <w:color w:val="000000" w:themeColor="text2"/>
      <w:sz w:val="40"/>
      <w:szCs w:val="36"/>
    </w:rPr>
  </w:style>
  <w:style w:type="paragraph" w:styleId="Heading2">
    <w:name w:val="heading 2"/>
    <w:next w:val="BodyTextafterheading"/>
    <w:link w:val="Heading2Char"/>
    <w:qFormat/>
    <w:rsid w:val="002F0249"/>
    <w:pPr>
      <w:keepNext/>
      <w:keepLines/>
      <w:spacing w:before="240" w:after="120" w:line="288" w:lineRule="auto"/>
      <w:outlineLvl w:val="1"/>
    </w:pPr>
    <w:rPr>
      <w:rFonts w:asciiTheme="majorHAnsi" w:eastAsiaTheme="majorEastAsia" w:hAnsiTheme="majorHAnsi" w:cstheme="majorBidi"/>
      <w:b/>
      <w:color w:val="003087"/>
      <w:sz w:val="36"/>
      <w:szCs w:val="26"/>
    </w:rPr>
  </w:style>
  <w:style w:type="paragraph" w:styleId="Heading3">
    <w:name w:val="heading 3"/>
    <w:next w:val="BodyTextafterheading"/>
    <w:link w:val="Heading3Char"/>
    <w:qFormat/>
    <w:rsid w:val="00E43269"/>
    <w:pPr>
      <w:keepNext/>
      <w:keepLines/>
      <w:spacing w:before="240" w:after="120" w:line="288" w:lineRule="auto"/>
      <w:outlineLvl w:val="2"/>
    </w:pPr>
    <w:rPr>
      <w:rFonts w:asciiTheme="majorHAnsi" w:eastAsiaTheme="majorEastAsia" w:hAnsiTheme="majorHAnsi" w:cstheme="majorBidi"/>
      <w:b/>
      <w:color w:val="005CB9"/>
      <w:sz w:val="32"/>
      <w:szCs w:val="24"/>
    </w:rPr>
  </w:style>
  <w:style w:type="paragraph" w:styleId="Heading4">
    <w:name w:val="heading 4"/>
    <w:next w:val="BodyTextafterheading"/>
    <w:link w:val="Heading4Char"/>
    <w:qFormat/>
    <w:rsid w:val="00E43269"/>
    <w:pPr>
      <w:keepNext/>
      <w:keepLines/>
      <w:spacing w:before="240" w:after="120" w:line="288" w:lineRule="auto"/>
      <w:outlineLvl w:val="3"/>
    </w:pPr>
    <w:rPr>
      <w:rFonts w:asciiTheme="majorHAnsi" w:eastAsiaTheme="majorEastAsia" w:hAnsiTheme="majorHAnsi" w:cstheme="majorBidi"/>
      <w:b/>
      <w:iCs/>
      <w:color w:val="022167" w:themeColor="text1"/>
      <w:sz w:val="28"/>
      <w:szCs w:val="20"/>
    </w:rPr>
  </w:style>
  <w:style w:type="paragraph" w:styleId="Heading5">
    <w:name w:val="heading 5"/>
    <w:next w:val="BodyTextafterheading"/>
    <w:link w:val="Heading5Char"/>
    <w:rsid w:val="00E43269"/>
    <w:pPr>
      <w:keepNext/>
      <w:keepLines/>
      <w:spacing w:before="240" w:after="120" w:line="288" w:lineRule="auto"/>
      <w:outlineLvl w:val="4"/>
    </w:pPr>
    <w:rPr>
      <w:rFonts w:asciiTheme="majorHAnsi" w:eastAsiaTheme="majorEastAsia" w:hAnsiTheme="majorHAnsi" w:cstheme="majorBidi"/>
      <w:b/>
      <w:iCs/>
      <w:color w:val="005CB9"/>
      <w:sz w:val="26"/>
      <w:szCs w:val="20"/>
    </w:rPr>
  </w:style>
  <w:style w:type="paragraph" w:styleId="Heading6">
    <w:name w:val="heading 6"/>
    <w:next w:val="BodyTextafterheading"/>
    <w:link w:val="Heading6Char"/>
    <w:qFormat/>
    <w:rsid w:val="00E43269"/>
    <w:pPr>
      <w:keepNext/>
      <w:keepLines/>
      <w:spacing w:before="240" w:after="120" w:line="288" w:lineRule="auto"/>
      <w:outlineLvl w:val="5"/>
    </w:pPr>
    <w:rPr>
      <w:rFonts w:asciiTheme="majorHAnsi" w:eastAsiaTheme="majorEastAsia" w:hAnsiTheme="majorHAnsi" w:cstheme="majorBidi"/>
      <w:b/>
      <w:iCs/>
      <w:color w:val="022167"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uiPriority w:val="4"/>
    <w:qFormat/>
    <w:rsid w:val="00250F08"/>
    <w:rPr>
      <w:b/>
      <w:i/>
    </w:rPr>
  </w:style>
  <w:style w:type="paragraph" w:customStyle="1" w:styleId="Heading1forLists">
    <w:name w:val="Heading 1 for Lists"/>
    <w:basedOn w:val="TOCHeading"/>
    <w:next w:val="BodyTextafterheading"/>
    <w:link w:val="Heading1forListsChar"/>
    <w:uiPriority w:val="2"/>
    <w:qFormat/>
    <w:rsid w:val="00333D56"/>
  </w:style>
  <w:style w:type="character" w:customStyle="1" w:styleId="Heading1forListsChar">
    <w:name w:val="Heading 1 for Lists Char"/>
    <w:basedOn w:val="DefaultParagraphFont"/>
    <w:link w:val="Heading1forLists"/>
    <w:uiPriority w:val="2"/>
    <w:rsid w:val="00333D56"/>
    <w:rPr>
      <w:rFonts w:asciiTheme="majorHAnsi" w:eastAsia="Times New Roman" w:hAnsiTheme="majorHAnsi" w:cs="Times New Roman"/>
      <w:b/>
      <w:sz w:val="40"/>
      <w:szCs w:val="24"/>
    </w:rPr>
  </w:style>
  <w:style w:type="character" w:customStyle="1" w:styleId="Heading1Char">
    <w:name w:val="Heading 1 Char"/>
    <w:basedOn w:val="DefaultParagraphFont"/>
    <w:link w:val="Heading1"/>
    <w:rsid w:val="00A430EC"/>
    <w:rPr>
      <w:rFonts w:asciiTheme="majorHAnsi" w:eastAsiaTheme="majorEastAsia" w:hAnsiTheme="majorHAnsi" w:cs="Arial"/>
      <w:b/>
      <w:color w:val="000000" w:themeColor="text2"/>
      <w:sz w:val="40"/>
      <w:szCs w:val="36"/>
    </w:rPr>
  </w:style>
  <w:style w:type="paragraph" w:styleId="TOCHeading">
    <w:name w:val="TOC Heading"/>
    <w:next w:val="TOC1"/>
    <w:link w:val="TOCHeadingChar"/>
    <w:uiPriority w:val="1"/>
    <w:qFormat/>
    <w:rsid w:val="00333D56"/>
    <w:pPr>
      <w:spacing w:after="240" w:line="288" w:lineRule="auto"/>
      <w:jc w:val="center"/>
      <w:outlineLvl w:val="0"/>
    </w:pPr>
    <w:rPr>
      <w:rFonts w:asciiTheme="majorHAnsi" w:eastAsia="Times New Roman" w:hAnsiTheme="majorHAnsi" w:cs="Times New Roman"/>
      <w:b/>
      <w:sz w:val="40"/>
      <w:szCs w:val="24"/>
    </w:rPr>
  </w:style>
  <w:style w:type="paragraph" w:customStyle="1" w:styleId="TableContent">
    <w:name w:val="Table Content"/>
    <w:basedOn w:val="BodyText"/>
    <w:link w:val="TableContentChar"/>
    <w:uiPriority w:val="4"/>
    <w:rsid w:val="00067170"/>
    <w:pPr>
      <w:widowControl w:val="0"/>
      <w:spacing w:before="60" w:after="60" w:line="252" w:lineRule="auto"/>
      <w:ind w:left="72" w:right="72"/>
    </w:pPr>
    <w:rPr>
      <w:sz w:val="20"/>
    </w:rPr>
  </w:style>
  <w:style w:type="character" w:customStyle="1" w:styleId="TableContentChar">
    <w:name w:val="Table Content Char"/>
    <w:basedOn w:val="BodyTextChar"/>
    <w:link w:val="TableContent"/>
    <w:uiPriority w:val="4"/>
    <w:rsid w:val="00067170"/>
    <w:rPr>
      <w:sz w:val="20"/>
      <w:szCs w:val="20"/>
    </w:rPr>
  </w:style>
  <w:style w:type="paragraph" w:styleId="BodyText">
    <w:name w:val="Body Text"/>
    <w:link w:val="BodyTextChar"/>
    <w:uiPriority w:val="4"/>
    <w:qFormat/>
    <w:rsid w:val="00660E58"/>
    <w:pPr>
      <w:spacing w:before="240" w:after="240" w:line="288" w:lineRule="auto"/>
    </w:pPr>
    <w:rPr>
      <w:szCs w:val="20"/>
    </w:rPr>
  </w:style>
  <w:style w:type="character" w:customStyle="1" w:styleId="BodyTextChar">
    <w:name w:val="Body Text Char"/>
    <w:basedOn w:val="DefaultParagraphFont"/>
    <w:link w:val="BodyText"/>
    <w:uiPriority w:val="4"/>
    <w:rsid w:val="00660E58"/>
    <w:rPr>
      <w:szCs w:val="20"/>
    </w:rPr>
  </w:style>
  <w:style w:type="paragraph" w:customStyle="1" w:styleId="BodyTextafterheading">
    <w:name w:val="Body Text after heading"/>
    <w:basedOn w:val="BodyText"/>
    <w:next w:val="BodyText"/>
    <w:link w:val="BodyTextafterheadingChar"/>
    <w:uiPriority w:val="4"/>
    <w:qFormat/>
    <w:rsid w:val="00250F08"/>
    <w:pPr>
      <w:spacing w:before="120"/>
    </w:pPr>
  </w:style>
  <w:style w:type="character" w:customStyle="1" w:styleId="BodyTextafterheadingChar">
    <w:name w:val="Body Text after heading Char"/>
    <w:basedOn w:val="BodyTextChar"/>
    <w:link w:val="BodyTextafterheading"/>
    <w:uiPriority w:val="4"/>
    <w:rsid w:val="00250F08"/>
    <w:rPr>
      <w:szCs w:val="20"/>
    </w:rPr>
  </w:style>
  <w:style w:type="character" w:customStyle="1" w:styleId="Heading2Char">
    <w:name w:val="Heading 2 Char"/>
    <w:basedOn w:val="DefaultParagraphFont"/>
    <w:link w:val="Heading2"/>
    <w:rsid w:val="002F0249"/>
    <w:rPr>
      <w:rFonts w:asciiTheme="majorHAnsi" w:eastAsiaTheme="majorEastAsia" w:hAnsiTheme="majorHAnsi" w:cstheme="majorBidi"/>
      <w:b/>
      <w:color w:val="003087"/>
      <w:sz w:val="36"/>
      <w:szCs w:val="26"/>
    </w:rPr>
  </w:style>
  <w:style w:type="character" w:customStyle="1" w:styleId="Heading3Char">
    <w:name w:val="Heading 3 Char"/>
    <w:basedOn w:val="DefaultParagraphFont"/>
    <w:link w:val="Heading3"/>
    <w:rsid w:val="00E43269"/>
    <w:rPr>
      <w:rFonts w:asciiTheme="majorHAnsi" w:eastAsiaTheme="majorEastAsia" w:hAnsiTheme="majorHAnsi" w:cstheme="majorBidi"/>
      <w:b/>
      <w:color w:val="005CB9"/>
      <w:sz w:val="32"/>
      <w:szCs w:val="24"/>
    </w:rPr>
  </w:style>
  <w:style w:type="character" w:customStyle="1" w:styleId="Heading4Char">
    <w:name w:val="Heading 4 Char"/>
    <w:basedOn w:val="DefaultParagraphFont"/>
    <w:link w:val="Heading4"/>
    <w:rsid w:val="00E43269"/>
    <w:rPr>
      <w:rFonts w:asciiTheme="majorHAnsi" w:eastAsiaTheme="majorEastAsia" w:hAnsiTheme="majorHAnsi" w:cstheme="majorBidi"/>
      <w:b/>
      <w:iCs/>
      <w:color w:val="022167" w:themeColor="text1"/>
      <w:sz w:val="28"/>
      <w:szCs w:val="20"/>
    </w:rPr>
  </w:style>
  <w:style w:type="character" w:customStyle="1" w:styleId="Heading6Char">
    <w:name w:val="Heading 6 Char"/>
    <w:basedOn w:val="DefaultParagraphFont"/>
    <w:link w:val="Heading6"/>
    <w:rsid w:val="00E43269"/>
    <w:rPr>
      <w:rFonts w:asciiTheme="majorHAnsi" w:eastAsiaTheme="majorEastAsia" w:hAnsiTheme="majorHAnsi" w:cstheme="majorBidi"/>
      <w:b/>
      <w:iCs/>
      <w:color w:val="022167" w:themeColor="text1"/>
      <w:sz w:val="24"/>
      <w:szCs w:val="20"/>
    </w:rPr>
  </w:style>
  <w:style w:type="paragraph" w:styleId="Caption">
    <w:name w:val="caption"/>
    <w:basedOn w:val="BodyText"/>
    <w:next w:val="BodyText"/>
    <w:uiPriority w:val="4"/>
    <w:qFormat/>
    <w:rsid w:val="004D7F37"/>
    <w:pPr>
      <w:keepNext/>
      <w:spacing w:after="60"/>
    </w:pPr>
    <w:rPr>
      <w:b/>
      <w:iCs/>
      <w:color w:val="000000" w:themeColor="text2"/>
      <w:sz w:val="20"/>
      <w:szCs w:val="18"/>
    </w:rPr>
  </w:style>
  <w:style w:type="paragraph" w:styleId="ListBullet">
    <w:name w:val="List Bullet"/>
    <w:uiPriority w:val="5"/>
    <w:qFormat/>
    <w:rsid w:val="00250F08"/>
    <w:pPr>
      <w:numPr>
        <w:numId w:val="5"/>
      </w:numPr>
      <w:spacing w:before="120" w:after="120" w:line="288" w:lineRule="auto"/>
    </w:pPr>
    <w:rPr>
      <w:rFonts w:cs="Calibri"/>
      <w:szCs w:val="20"/>
    </w:rPr>
  </w:style>
  <w:style w:type="paragraph" w:styleId="ListNumber">
    <w:name w:val="List Number"/>
    <w:uiPriority w:val="5"/>
    <w:qFormat/>
    <w:rsid w:val="00966638"/>
    <w:pPr>
      <w:numPr>
        <w:numId w:val="6"/>
      </w:numPr>
      <w:spacing w:before="120" w:after="120" w:line="288" w:lineRule="auto"/>
    </w:pPr>
    <w:rPr>
      <w:szCs w:val="20"/>
    </w:rPr>
  </w:style>
  <w:style w:type="paragraph" w:styleId="Title">
    <w:name w:val="Title"/>
    <w:basedOn w:val="Normal"/>
    <w:link w:val="TitleChar"/>
    <w:uiPriority w:val="10"/>
    <w:qFormat/>
    <w:rsid w:val="002236D2"/>
    <w:pPr>
      <w:spacing w:before="3600" w:after="480" w:line="300" w:lineRule="auto"/>
      <w:contextualSpacing/>
      <w:jc w:val="center"/>
      <w:outlineLvl w:val="0"/>
    </w:pPr>
    <w:rPr>
      <w:rFonts w:asciiTheme="majorHAnsi" w:eastAsiaTheme="majorEastAsia" w:hAnsiTheme="majorHAnsi" w:cstheme="majorBidi"/>
      <w:b/>
      <w:color w:val="005CB9"/>
      <w:spacing w:val="-10"/>
      <w:kern w:val="28"/>
      <w:sz w:val="56"/>
      <w:szCs w:val="56"/>
    </w:rPr>
  </w:style>
  <w:style w:type="character" w:customStyle="1" w:styleId="TitleChar">
    <w:name w:val="Title Char"/>
    <w:basedOn w:val="DefaultParagraphFont"/>
    <w:link w:val="Title"/>
    <w:uiPriority w:val="10"/>
    <w:rsid w:val="002236D2"/>
    <w:rPr>
      <w:rFonts w:asciiTheme="majorHAnsi" w:eastAsiaTheme="majorEastAsia" w:hAnsiTheme="majorHAnsi" w:cstheme="majorBidi"/>
      <w:b/>
      <w:color w:val="005CB9"/>
      <w:spacing w:val="-10"/>
      <w:kern w:val="28"/>
      <w:sz w:val="56"/>
      <w:szCs w:val="56"/>
    </w:rPr>
  </w:style>
  <w:style w:type="paragraph" w:styleId="Subtitle">
    <w:name w:val="Subtitle"/>
    <w:basedOn w:val="Normal"/>
    <w:link w:val="SubtitleChar"/>
    <w:uiPriority w:val="11"/>
    <w:semiHidden/>
    <w:qFormat/>
    <w:rsid w:val="002236D2"/>
    <w:pPr>
      <w:numPr>
        <w:ilvl w:val="1"/>
      </w:numPr>
      <w:spacing w:before="600" w:after="160" w:line="300" w:lineRule="auto"/>
      <w:jc w:val="center"/>
    </w:pPr>
    <w:rPr>
      <w:rFonts w:eastAsiaTheme="minorEastAsia"/>
      <w:b/>
      <w:color w:val="000000" w:themeColor="text2"/>
      <w:sz w:val="32"/>
    </w:rPr>
  </w:style>
  <w:style w:type="character" w:customStyle="1" w:styleId="SubtitleChar">
    <w:name w:val="Subtitle Char"/>
    <w:basedOn w:val="DefaultParagraphFont"/>
    <w:link w:val="Subtitle"/>
    <w:uiPriority w:val="11"/>
    <w:semiHidden/>
    <w:rsid w:val="002236D2"/>
    <w:rPr>
      <w:rFonts w:eastAsiaTheme="minorEastAsia"/>
      <w:b/>
      <w:color w:val="000000" w:themeColor="text2"/>
      <w:sz w:val="32"/>
      <w:szCs w:val="20"/>
    </w:rPr>
  </w:style>
  <w:style w:type="character" w:styleId="Strong">
    <w:name w:val="Strong"/>
    <w:uiPriority w:val="4"/>
    <w:qFormat/>
    <w:rsid w:val="00250F08"/>
    <w:rPr>
      <w:b/>
      <w:bCs/>
    </w:rPr>
  </w:style>
  <w:style w:type="character" w:styleId="Emphasis">
    <w:name w:val="Emphasis"/>
    <w:uiPriority w:val="4"/>
    <w:qFormat/>
    <w:rsid w:val="00250F08"/>
    <w:rPr>
      <w:i/>
      <w:iCs/>
    </w:rPr>
  </w:style>
  <w:style w:type="paragraph" w:styleId="ListParagraph">
    <w:name w:val="List Paragraph"/>
    <w:uiPriority w:val="5"/>
    <w:qFormat/>
    <w:rsid w:val="00660E58"/>
    <w:pPr>
      <w:spacing w:before="120" w:after="120"/>
      <w:ind w:left="720"/>
    </w:pPr>
    <w:rPr>
      <w:szCs w:val="20"/>
    </w:rPr>
  </w:style>
  <w:style w:type="table" w:customStyle="1" w:styleId="AccessibleBaseforTables">
    <w:name w:val="Accessible Base for Tables"/>
    <w:basedOn w:val="TableNormal"/>
    <w:uiPriority w:val="99"/>
    <w:rsid w:val="00A05C85"/>
    <w:pPr>
      <w:jc w:val="center"/>
    </w:pPr>
    <w:rPr>
      <w:sz w:val="20"/>
    </w:rPr>
    <w:tblPr>
      <w:tblCellMar>
        <w:left w:w="0" w:type="dxa"/>
        <w:right w:w="0" w:type="dxa"/>
      </w:tblCellMar>
    </w:tblPr>
    <w:trPr>
      <w:cantSplit/>
    </w:trPr>
    <w:tblStylePr w:type="firstRow">
      <w:pPr>
        <w:jc w:val="center"/>
      </w:pPr>
      <w:tblPr/>
      <w:trPr>
        <w:tblHeader/>
      </w:trPr>
    </w:tblStylePr>
    <w:tblStylePr w:type="firstCol">
      <w:pPr>
        <w:jc w:val="left"/>
      </w:pPr>
    </w:tblStylePr>
  </w:style>
  <w:style w:type="table" w:customStyle="1" w:styleId="AccessibleTable">
    <w:name w:val="Accessible Table"/>
    <w:basedOn w:val="AccessibleBaseforTables"/>
    <w:uiPriority w:val="99"/>
    <w:rsid w:val="00063D03"/>
    <w:tblPr>
      <w:tblStyleRowBandSize w:val="1"/>
      <w:tblBorders>
        <w:top w:val="single" w:sz="4" w:space="0" w:color="022167" w:themeColor="text1"/>
        <w:left w:val="single" w:sz="4" w:space="0" w:color="022167" w:themeColor="text1"/>
        <w:bottom w:val="single" w:sz="4" w:space="0" w:color="022167" w:themeColor="text1"/>
        <w:right w:val="single" w:sz="4" w:space="0" w:color="022167" w:themeColor="text1"/>
        <w:insideH w:val="single" w:sz="4" w:space="0" w:color="022167" w:themeColor="text1"/>
        <w:insideV w:val="single" w:sz="4" w:space="0" w:color="022167" w:themeColor="text1"/>
      </w:tblBorders>
    </w:tblPr>
    <w:tblStylePr w:type="firstRow">
      <w:pPr>
        <w:jc w:val="center"/>
      </w:pPr>
      <w:rPr>
        <w:b/>
      </w:rPr>
      <w:tblPr/>
      <w:trPr>
        <w:tblHeader/>
      </w:trPr>
      <w:tcPr>
        <w:shd w:val="clear" w:color="auto" w:fill="C4DDF4" w:themeFill="accent1" w:themeFillTint="66"/>
        <w:vAlign w:val="bottom"/>
      </w:tcPr>
    </w:tblStylePr>
    <w:tblStylePr w:type="lastRow">
      <w:rPr>
        <w:b/>
      </w:rPr>
      <w:tblPr/>
      <w:tcPr>
        <w:tcBorders>
          <w:top w:val="single" w:sz="4" w:space="0" w:color="auto"/>
        </w:tcBorders>
        <w:shd w:val="clear" w:color="auto" w:fill="C4DDF4" w:themeFill="accent1" w:themeFillTint="66"/>
      </w:tcPr>
    </w:tblStylePr>
    <w:tblStylePr w:type="firstCol">
      <w:pPr>
        <w:jc w:val="left"/>
      </w:pPr>
      <w:rPr>
        <w:b/>
      </w:rPr>
      <w:tblPr/>
      <w:tcPr>
        <w:shd w:val="clear" w:color="auto" w:fill="C4DDF4" w:themeFill="accent1" w:themeFillTint="66"/>
      </w:tcPr>
    </w:tblStylePr>
    <w:tblStylePr w:type="lastCol">
      <w:rPr>
        <w:b/>
      </w:rPr>
      <w:tblPr/>
      <w:tcPr>
        <w:tcBorders>
          <w:left w:val="single" w:sz="4" w:space="0" w:color="auto"/>
        </w:tcBorders>
        <w:shd w:val="clear" w:color="auto" w:fill="C4DDF4" w:themeFill="accent1" w:themeFillTint="66"/>
      </w:tcPr>
    </w:tblStylePr>
    <w:tblStylePr w:type="band2Horz">
      <w:tblPr/>
      <w:tcPr>
        <w:shd w:val="clear" w:color="auto" w:fill="E1EEF9" w:themeFill="accent1" w:themeFillTint="33"/>
      </w:tcPr>
    </w:tblStylePr>
  </w:style>
  <w:style w:type="paragraph" w:styleId="BlockText">
    <w:name w:val="Block Text"/>
    <w:basedOn w:val="BodyText"/>
    <w:uiPriority w:val="6"/>
    <w:qFormat/>
    <w:rsid w:val="000D61EC"/>
    <w:pPr>
      <w:pBdr>
        <w:top w:val="single" w:sz="8" w:space="10" w:color="003087"/>
        <w:left w:val="single" w:sz="36" w:space="10" w:color="003087"/>
        <w:bottom w:val="single" w:sz="8" w:space="10" w:color="003087"/>
        <w:right w:val="single" w:sz="36" w:space="10" w:color="003087"/>
      </w:pBdr>
      <w:spacing w:before="360" w:after="360"/>
      <w:ind w:left="1152" w:right="1152"/>
    </w:pPr>
    <w:rPr>
      <w:rFonts w:eastAsiaTheme="minorEastAsia"/>
      <w:iCs/>
    </w:rPr>
  </w:style>
  <w:style w:type="character" w:customStyle="1" w:styleId="Heading5Char">
    <w:name w:val="Heading 5 Char"/>
    <w:basedOn w:val="DefaultParagraphFont"/>
    <w:link w:val="Heading5"/>
    <w:rsid w:val="00E43269"/>
    <w:rPr>
      <w:rFonts w:asciiTheme="majorHAnsi" w:eastAsiaTheme="majorEastAsia" w:hAnsiTheme="majorHAnsi" w:cstheme="majorBidi"/>
      <w:b/>
      <w:iCs/>
      <w:color w:val="005CB9"/>
      <w:sz w:val="26"/>
      <w:szCs w:val="20"/>
    </w:rPr>
  </w:style>
  <w:style w:type="numbering" w:customStyle="1" w:styleId="HHSBullets">
    <w:name w:val="HHS Bullets"/>
    <w:uiPriority w:val="99"/>
    <w:rsid w:val="00A05C85"/>
    <w:pPr>
      <w:numPr>
        <w:numId w:val="2"/>
      </w:numPr>
    </w:pPr>
  </w:style>
  <w:style w:type="table" w:customStyle="1" w:styleId="HHSFinancialData">
    <w:name w:val="HHS Financial Data"/>
    <w:basedOn w:val="AccessibleBaseforTables"/>
    <w:uiPriority w:val="99"/>
    <w:rsid w:val="00445998"/>
    <w:pPr>
      <w:jc w:val="right"/>
    </w:pPr>
    <w:rPr>
      <w:szCs w:val="20"/>
    </w:rPr>
    <w:tblPr>
      <w:tblStyleRowBandSize w:val="1"/>
      <w:tblStyleColBandSize w:val="1"/>
      <w:tblBorders>
        <w:top w:val="single" w:sz="2" w:space="0" w:color="022167" w:themeColor="text1"/>
        <w:left w:val="single" w:sz="2" w:space="0" w:color="022167" w:themeColor="text1"/>
        <w:bottom w:val="single" w:sz="2" w:space="0" w:color="022167" w:themeColor="text1"/>
        <w:right w:val="single" w:sz="2" w:space="0" w:color="022167" w:themeColor="text1"/>
        <w:insideH w:val="single" w:sz="2" w:space="0" w:color="022167" w:themeColor="text1"/>
        <w:insideV w:val="single" w:sz="2" w:space="0" w:color="022167" w:themeColor="text1"/>
      </w:tblBorders>
    </w:tblPr>
    <w:tcPr>
      <w:vAlign w:val="bottom"/>
    </w:tcPr>
    <w:tblStylePr w:type="firstRow">
      <w:pPr>
        <w:wordWrap/>
        <w:jc w:val="center"/>
      </w:pPr>
      <w:rPr>
        <w:rFonts w:asciiTheme="minorHAnsi" w:hAnsiTheme="minorHAnsi"/>
        <w:b/>
        <w:sz w:val="20"/>
      </w:rPr>
      <w:tblPr/>
      <w:trPr>
        <w:tblHeader/>
      </w:trPr>
      <w:tcPr>
        <w:shd w:val="clear" w:color="auto" w:fill="C4DDF4" w:themeFill="accent1" w:themeFillTint="66"/>
      </w:tcPr>
    </w:tblStylePr>
    <w:tblStylePr w:type="lastRow">
      <w:rPr>
        <w:b/>
      </w:rPr>
      <w:tblPr/>
      <w:tcPr>
        <w:shd w:val="clear" w:color="auto" w:fill="C4DDF4" w:themeFill="accent1" w:themeFillTint="66"/>
      </w:tcPr>
    </w:tblStylePr>
    <w:tblStylePr w:type="firstCol">
      <w:pPr>
        <w:wordWrap/>
        <w:jc w:val="left"/>
      </w:pPr>
      <w:rPr>
        <w:b/>
      </w:rPr>
      <w:tblPr/>
      <w:tcPr>
        <w:tcMar>
          <w:top w:w="0" w:type="dxa"/>
          <w:left w:w="0" w:type="dxa"/>
          <w:bottom w:w="0" w:type="dxa"/>
          <w:right w:w="0" w:type="dxa"/>
        </w:tcMar>
      </w:tcPr>
    </w:tblStylePr>
    <w:tblStylePr w:type="lastCol">
      <w:rPr>
        <w:b/>
      </w:rPr>
      <w:tblPr/>
      <w:tcPr>
        <w:shd w:val="clear" w:color="auto" w:fill="C4DDF4" w:themeFill="accent1" w:themeFillTint="66"/>
      </w:tcPr>
    </w:tblStylePr>
    <w:tblStylePr w:type="band1Horz">
      <w:pPr>
        <w:jc w:val="right"/>
      </w:pPr>
    </w:tblStylePr>
    <w:tblStylePr w:type="band2Horz">
      <w:pPr>
        <w:jc w:val="right"/>
      </w:pPr>
      <w:tblPr/>
      <w:tcPr>
        <w:shd w:val="clear" w:color="auto" w:fill="E1EEF9" w:themeFill="accent1" w:themeFillTint="33"/>
      </w:tcPr>
    </w:tblStylePr>
    <w:tblStylePr w:type="nwCell">
      <w:pPr>
        <w:wordWrap/>
        <w:jc w:val="center"/>
      </w:pPr>
      <w:tblPr/>
      <w:tcPr>
        <w:vAlign w:val="bottom"/>
      </w:tcPr>
    </w:tblStylePr>
    <w:tblStylePr w:type="swCell">
      <w:pPr>
        <w:jc w:val="left"/>
      </w:pPr>
      <w:tblPr/>
      <w:trPr>
        <w:cantSplit w:val="0"/>
      </w:trPr>
      <w:tcPr>
        <w:vAlign w:val="bottom"/>
      </w:tcPr>
    </w:tblStylePr>
  </w:style>
  <w:style w:type="numbering" w:customStyle="1" w:styleId="HHSHeadingNumbering">
    <w:name w:val="HHS Heading Numbering"/>
    <w:uiPriority w:val="99"/>
    <w:rsid w:val="00D16536"/>
    <w:pPr>
      <w:numPr>
        <w:numId w:val="1"/>
      </w:numPr>
    </w:pPr>
  </w:style>
  <w:style w:type="numbering" w:customStyle="1" w:styleId="HHSNumbering">
    <w:name w:val="HHS Numbering"/>
    <w:uiPriority w:val="99"/>
    <w:rsid w:val="00A05C85"/>
    <w:pPr>
      <w:numPr>
        <w:numId w:val="3"/>
      </w:numPr>
    </w:pPr>
  </w:style>
  <w:style w:type="table" w:customStyle="1" w:styleId="HHSTableforTextData">
    <w:name w:val="HHS Table for Text Data"/>
    <w:basedOn w:val="AccessibleBaseforTables"/>
    <w:uiPriority w:val="99"/>
    <w:rsid w:val="00063D03"/>
    <w:rPr>
      <w:szCs w:val="20"/>
    </w:rPr>
    <w:tblPr>
      <w:tblStyleRowBandSize w:val="1"/>
      <w:tblStyleColBandSize w:val="1"/>
      <w:tblBorders>
        <w:top w:val="single" w:sz="4" w:space="0" w:color="022167" w:themeColor="text1"/>
        <w:left w:val="single" w:sz="4" w:space="0" w:color="022167" w:themeColor="text1"/>
        <w:bottom w:val="single" w:sz="4" w:space="0" w:color="022167" w:themeColor="text1"/>
        <w:right w:val="single" w:sz="4" w:space="0" w:color="022167" w:themeColor="text1"/>
        <w:insideH w:val="single" w:sz="4" w:space="0" w:color="022167" w:themeColor="text1"/>
        <w:insideV w:val="single" w:sz="4" w:space="0" w:color="022167" w:themeColor="text1"/>
      </w:tblBorders>
    </w:tblPr>
    <w:tblStylePr w:type="firstRow">
      <w:pPr>
        <w:wordWrap/>
        <w:jc w:val="center"/>
      </w:pPr>
      <w:rPr>
        <w:b/>
      </w:rPr>
      <w:tblPr/>
      <w:trPr>
        <w:tblHeader/>
      </w:trPr>
      <w:tcPr>
        <w:shd w:val="clear" w:color="auto" w:fill="C4DDF4" w:themeFill="accent1" w:themeFillTint="66"/>
        <w:vAlign w:val="bottom"/>
      </w:tcPr>
    </w:tblStylePr>
    <w:tblStylePr w:type="lastRow">
      <w:pPr>
        <w:jc w:val="left"/>
      </w:pPr>
    </w:tblStylePr>
    <w:tblStylePr w:type="firstCol">
      <w:pPr>
        <w:jc w:val="left"/>
      </w:pPr>
    </w:tblStylePr>
    <w:tblStylePr w:type="lastCol">
      <w:pPr>
        <w:jc w:val="left"/>
      </w:pPr>
    </w:tblStylePr>
    <w:tblStylePr w:type="band1Vert">
      <w:pPr>
        <w:jc w:val="left"/>
      </w:pPr>
    </w:tblStylePr>
    <w:tblStylePr w:type="band2Vert">
      <w:pPr>
        <w:jc w:val="left"/>
      </w:pPr>
    </w:tblStylePr>
    <w:tblStylePr w:type="band1Horz">
      <w:pPr>
        <w:jc w:val="left"/>
      </w:pPr>
    </w:tblStylePr>
    <w:tblStylePr w:type="band2Horz">
      <w:pPr>
        <w:jc w:val="left"/>
      </w:pPr>
      <w:tblPr/>
      <w:tcPr>
        <w:shd w:val="clear" w:color="auto" w:fill="E1EEF9" w:themeFill="accent1" w:themeFillTint="33"/>
      </w:tcPr>
    </w:tblStylePr>
  </w:style>
  <w:style w:type="character" w:styleId="Hyperlink">
    <w:name w:val="Hyperlink"/>
    <w:uiPriority w:val="4"/>
    <w:rsid w:val="00A05C85"/>
    <w:rPr>
      <w:rFonts w:asciiTheme="minorHAnsi" w:hAnsiTheme="minorHAnsi" w:cs="Times New Roman" w:hint="default"/>
      <w:color w:val="0965D5"/>
      <w:u w:val="single"/>
    </w:rPr>
  </w:style>
  <w:style w:type="table" w:customStyle="1" w:styleId="ListofAcronyms">
    <w:name w:val="List of Acronyms"/>
    <w:basedOn w:val="TableNormal"/>
    <w:uiPriority w:val="99"/>
    <w:rsid w:val="00F54A70"/>
    <w:tblPr>
      <w:tblStyleRowBandSize w:val="1"/>
    </w:tblPr>
    <w:tblStylePr w:type="firstRow">
      <w:rPr>
        <w:b/>
        <w:i w:val="0"/>
      </w:rPr>
      <w:tblPr/>
      <w:trPr>
        <w:cantSplit/>
        <w:tblHeader/>
      </w:trPr>
      <w:tcPr>
        <w:tcBorders>
          <w:top w:val="nil"/>
          <w:left w:val="nil"/>
          <w:bottom w:val="nil"/>
          <w:right w:val="nil"/>
          <w:insideH w:val="nil"/>
          <w:insideV w:val="nil"/>
          <w:tl2br w:val="nil"/>
          <w:tr2bl w:val="nil"/>
        </w:tcBorders>
      </w:tcPr>
    </w:tblStylePr>
    <w:tblStylePr w:type="band1Horz">
      <w:tblPr/>
      <w:tcPr>
        <w:tcBorders>
          <w:top w:val="single" w:sz="4" w:space="0" w:color="auto"/>
          <w:left w:val="nil"/>
          <w:bottom w:val="nil"/>
          <w:right w:val="nil"/>
          <w:insideH w:val="nil"/>
          <w:insideV w:val="nil"/>
          <w:tl2br w:val="nil"/>
          <w:tr2bl w:val="nil"/>
        </w:tcBorders>
      </w:tcPr>
    </w:tblStylePr>
    <w:tblStylePr w:type="band2Horz">
      <w:tblPr/>
      <w:tcPr>
        <w:tcBorders>
          <w:top w:val="single" w:sz="4" w:space="0" w:color="auto"/>
          <w:left w:val="nil"/>
          <w:bottom w:val="nil"/>
          <w:right w:val="nil"/>
          <w:insideH w:val="nil"/>
          <w:insideV w:val="nil"/>
          <w:tl2br w:val="nil"/>
          <w:tr2bl w:val="nil"/>
        </w:tcBorders>
      </w:tcPr>
    </w:tblStylePr>
  </w:style>
  <w:style w:type="table" w:styleId="TableGrid">
    <w:name w:val="Table Grid"/>
    <w:basedOn w:val="TableNormal"/>
    <w:uiPriority w:val="39"/>
    <w:rsid w:val="00063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55070"/>
    <w:pPr>
      <w:spacing w:before="240"/>
      <w:ind w:left="180" w:hanging="180"/>
      <w:contextualSpacing/>
    </w:pPr>
    <w:rPr>
      <w:sz w:val="18"/>
    </w:rPr>
  </w:style>
  <w:style w:type="character" w:customStyle="1" w:styleId="EndnoteTextChar">
    <w:name w:val="Endnote Text Char"/>
    <w:basedOn w:val="DefaultParagraphFont"/>
    <w:link w:val="EndnoteText"/>
    <w:uiPriority w:val="99"/>
    <w:semiHidden/>
    <w:rsid w:val="00C55070"/>
    <w:rPr>
      <w:sz w:val="18"/>
      <w:szCs w:val="20"/>
    </w:rPr>
  </w:style>
  <w:style w:type="paragraph" w:styleId="TOC3">
    <w:name w:val="toc 3"/>
    <w:basedOn w:val="Normal"/>
    <w:next w:val="Normal"/>
    <w:uiPriority w:val="1"/>
    <w:semiHidden/>
    <w:rsid w:val="00A73EF7"/>
    <w:pPr>
      <w:spacing w:after="100"/>
      <w:ind w:left="440"/>
    </w:pPr>
    <w:rPr>
      <w:rFonts w:asciiTheme="majorHAnsi" w:hAnsiTheme="majorHAnsi"/>
    </w:rPr>
  </w:style>
  <w:style w:type="paragraph" w:styleId="TOC4">
    <w:name w:val="toc 4"/>
    <w:basedOn w:val="Normal"/>
    <w:next w:val="Normal"/>
    <w:uiPriority w:val="1"/>
    <w:semiHidden/>
    <w:rsid w:val="00A73EF7"/>
    <w:pPr>
      <w:spacing w:after="100"/>
      <w:ind w:left="660"/>
    </w:pPr>
    <w:rPr>
      <w:rFonts w:asciiTheme="majorHAnsi" w:hAnsiTheme="majorHAnsi"/>
    </w:rPr>
  </w:style>
  <w:style w:type="paragraph" w:styleId="TOC5">
    <w:name w:val="toc 5"/>
    <w:basedOn w:val="Normal"/>
    <w:next w:val="Normal"/>
    <w:uiPriority w:val="1"/>
    <w:semiHidden/>
    <w:rsid w:val="00A73EF7"/>
    <w:pPr>
      <w:spacing w:after="100"/>
      <w:ind w:left="880"/>
    </w:pPr>
    <w:rPr>
      <w:rFonts w:asciiTheme="majorHAnsi" w:hAnsiTheme="majorHAnsi"/>
    </w:rPr>
  </w:style>
  <w:style w:type="paragraph" w:styleId="TOC6">
    <w:name w:val="toc 6"/>
    <w:basedOn w:val="Normal"/>
    <w:next w:val="Normal"/>
    <w:uiPriority w:val="1"/>
    <w:semiHidden/>
    <w:rsid w:val="00A73EF7"/>
    <w:pPr>
      <w:spacing w:after="100"/>
      <w:ind w:left="1100"/>
    </w:pPr>
    <w:rPr>
      <w:rFonts w:asciiTheme="majorHAnsi" w:hAnsiTheme="majorHAnsi"/>
    </w:rPr>
  </w:style>
  <w:style w:type="paragraph" w:styleId="Quote">
    <w:name w:val="Quote"/>
    <w:link w:val="QuoteChar"/>
    <w:uiPriority w:val="6"/>
    <w:qFormat/>
    <w:rsid w:val="00660E58"/>
    <w:pPr>
      <w:spacing w:before="200" w:after="160" w:line="288" w:lineRule="auto"/>
      <w:ind w:left="864" w:right="864"/>
      <w:jc w:val="center"/>
    </w:pPr>
    <w:rPr>
      <w:i/>
      <w:iCs/>
      <w:color w:val="0440CA" w:themeColor="text1" w:themeTint="BF"/>
      <w:szCs w:val="20"/>
    </w:rPr>
  </w:style>
  <w:style w:type="character" w:customStyle="1" w:styleId="QuoteChar">
    <w:name w:val="Quote Char"/>
    <w:basedOn w:val="DefaultParagraphFont"/>
    <w:link w:val="Quote"/>
    <w:uiPriority w:val="6"/>
    <w:rsid w:val="00660E58"/>
    <w:rPr>
      <w:i/>
      <w:iCs/>
      <w:color w:val="0440CA" w:themeColor="text1" w:themeTint="BF"/>
      <w:szCs w:val="20"/>
    </w:rPr>
  </w:style>
  <w:style w:type="character" w:styleId="UnresolvedMention">
    <w:name w:val="Unresolved Mention"/>
    <w:basedOn w:val="DefaultParagraphFont"/>
    <w:uiPriority w:val="99"/>
    <w:semiHidden/>
    <w:unhideWhenUsed/>
    <w:rsid w:val="00CC5572"/>
    <w:rPr>
      <w:color w:val="808080"/>
      <w:shd w:val="clear" w:color="auto" w:fill="E6E6E6"/>
    </w:rPr>
  </w:style>
  <w:style w:type="numbering" w:customStyle="1" w:styleId="Appendixes">
    <w:name w:val="Appendixes"/>
    <w:uiPriority w:val="99"/>
    <w:rsid w:val="005F54F5"/>
    <w:pPr>
      <w:numPr>
        <w:numId w:val="4"/>
      </w:numPr>
    </w:pPr>
  </w:style>
  <w:style w:type="paragraph" w:styleId="Header">
    <w:name w:val="header"/>
    <w:basedOn w:val="Normal"/>
    <w:link w:val="HeaderChar"/>
    <w:uiPriority w:val="7"/>
    <w:unhideWhenUsed/>
    <w:rsid w:val="00D072AE"/>
    <w:pPr>
      <w:pBdr>
        <w:bottom w:val="single" w:sz="4" w:space="1" w:color="auto"/>
      </w:pBdr>
      <w:tabs>
        <w:tab w:val="center" w:pos="4680"/>
        <w:tab w:val="right" w:pos="9360"/>
      </w:tabs>
      <w:spacing w:before="240"/>
    </w:pPr>
  </w:style>
  <w:style w:type="character" w:customStyle="1" w:styleId="HeaderChar">
    <w:name w:val="Header Char"/>
    <w:basedOn w:val="DefaultParagraphFont"/>
    <w:link w:val="Header"/>
    <w:uiPriority w:val="7"/>
    <w:rsid w:val="002236D2"/>
    <w:rPr>
      <w:szCs w:val="20"/>
    </w:rPr>
  </w:style>
  <w:style w:type="paragraph" w:styleId="TOC1">
    <w:name w:val="toc 1"/>
    <w:basedOn w:val="Normal"/>
    <w:next w:val="Normal"/>
    <w:uiPriority w:val="1"/>
    <w:semiHidden/>
    <w:rsid w:val="00BA3755"/>
    <w:pPr>
      <w:spacing w:before="240"/>
    </w:pPr>
    <w:rPr>
      <w:rFonts w:asciiTheme="majorHAnsi" w:hAnsiTheme="majorHAnsi"/>
      <w:b/>
    </w:rPr>
  </w:style>
  <w:style w:type="character" w:styleId="FollowedHyperlink">
    <w:name w:val="FollowedHyperlink"/>
    <w:basedOn w:val="DefaultParagraphFont"/>
    <w:uiPriority w:val="99"/>
    <w:semiHidden/>
    <w:unhideWhenUsed/>
    <w:rsid w:val="008D00BD"/>
    <w:rPr>
      <w:color w:val="0965D5" w:themeColor="followedHyperlink"/>
      <w:u w:val="single"/>
    </w:rPr>
  </w:style>
  <w:style w:type="paragraph" w:styleId="BalloonText">
    <w:name w:val="Balloon Text"/>
    <w:basedOn w:val="Normal"/>
    <w:link w:val="BalloonTextChar"/>
    <w:uiPriority w:val="99"/>
    <w:semiHidden/>
    <w:unhideWhenUsed/>
    <w:rsid w:val="00BE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3B2"/>
    <w:rPr>
      <w:rFonts w:ascii="Segoe UI" w:hAnsi="Segoe UI" w:cs="Segoe UI"/>
      <w:sz w:val="18"/>
      <w:szCs w:val="18"/>
    </w:rPr>
  </w:style>
  <w:style w:type="paragraph" w:styleId="FootnoteText">
    <w:name w:val="footnote text"/>
    <w:basedOn w:val="Normal"/>
    <w:link w:val="FootnoteTextChar"/>
    <w:uiPriority w:val="99"/>
    <w:semiHidden/>
    <w:unhideWhenUsed/>
    <w:rsid w:val="00BE23B2"/>
    <w:rPr>
      <w:sz w:val="20"/>
    </w:rPr>
  </w:style>
  <w:style w:type="character" w:customStyle="1" w:styleId="FootnoteTextChar">
    <w:name w:val="Footnote Text Char"/>
    <w:basedOn w:val="DefaultParagraphFont"/>
    <w:link w:val="FootnoteText"/>
    <w:uiPriority w:val="99"/>
    <w:semiHidden/>
    <w:rsid w:val="00BE23B2"/>
    <w:rPr>
      <w:sz w:val="20"/>
      <w:szCs w:val="20"/>
    </w:rPr>
  </w:style>
  <w:style w:type="character" w:styleId="FootnoteReference">
    <w:name w:val="footnote reference"/>
    <w:basedOn w:val="DefaultParagraphFont"/>
    <w:uiPriority w:val="99"/>
    <w:semiHidden/>
    <w:unhideWhenUsed/>
    <w:rsid w:val="00BE23B2"/>
    <w:rPr>
      <w:vertAlign w:val="superscript"/>
    </w:rPr>
  </w:style>
  <w:style w:type="character" w:styleId="CommentReference">
    <w:name w:val="annotation reference"/>
    <w:basedOn w:val="DefaultParagraphFont"/>
    <w:semiHidden/>
    <w:unhideWhenUsed/>
    <w:rsid w:val="00E168FC"/>
    <w:rPr>
      <w:sz w:val="16"/>
      <w:szCs w:val="16"/>
    </w:rPr>
  </w:style>
  <w:style w:type="paragraph" w:styleId="CommentText">
    <w:name w:val="annotation text"/>
    <w:basedOn w:val="Normal"/>
    <w:link w:val="CommentTextChar"/>
    <w:unhideWhenUsed/>
    <w:rsid w:val="00E168FC"/>
    <w:rPr>
      <w:sz w:val="20"/>
    </w:rPr>
  </w:style>
  <w:style w:type="character" w:customStyle="1" w:styleId="CommentTextChar">
    <w:name w:val="Comment Text Char"/>
    <w:basedOn w:val="DefaultParagraphFont"/>
    <w:link w:val="CommentText"/>
    <w:rsid w:val="00E168FC"/>
    <w:rPr>
      <w:sz w:val="20"/>
      <w:szCs w:val="20"/>
    </w:rPr>
  </w:style>
  <w:style w:type="paragraph" w:styleId="CommentSubject">
    <w:name w:val="annotation subject"/>
    <w:basedOn w:val="CommentText"/>
    <w:next w:val="CommentText"/>
    <w:link w:val="CommentSubjectChar"/>
    <w:uiPriority w:val="99"/>
    <w:semiHidden/>
    <w:unhideWhenUsed/>
    <w:rsid w:val="00E168FC"/>
    <w:rPr>
      <w:b/>
      <w:bCs/>
    </w:rPr>
  </w:style>
  <w:style w:type="character" w:customStyle="1" w:styleId="CommentSubjectChar">
    <w:name w:val="Comment Subject Char"/>
    <w:basedOn w:val="CommentTextChar"/>
    <w:link w:val="CommentSubject"/>
    <w:uiPriority w:val="99"/>
    <w:semiHidden/>
    <w:rsid w:val="00E168FC"/>
    <w:rPr>
      <w:b/>
      <w:bCs/>
      <w:sz w:val="20"/>
      <w:szCs w:val="20"/>
    </w:rPr>
  </w:style>
  <w:style w:type="paragraph" w:styleId="Footer">
    <w:name w:val="footer"/>
    <w:basedOn w:val="Normal"/>
    <w:link w:val="FooterChar"/>
    <w:uiPriority w:val="99"/>
    <w:unhideWhenUsed/>
    <w:rsid w:val="00D072AE"/>
    <w:pPr>
      <w:pBdr>
        <w:top w:val="single" w:sz="4" w:space="1" w:color="auto"/>
      </w:pBdr>
      <w:tabs>
        <w:tab w:val="center" w:pos="4680"/>
        <w:tab w:val="right" w:pos="9360"/>
      </w:tabs>
      <w:spacing w:before="240"/>
    </w:pPr>
  </w:style>
  <w:style w:type="character" w:customStyle="1" w:styleId="FooterChar">
    <w:name w:val="Footer Char"/>
    <w:basedOn w:val="DefaultParagraphFont"/>
    <w:link w:val="Footer"/>
    <w:uiPriority w:val="99"/>
    <w:rsid w:val="002236D2"/>
    <w:rPr>
      <w:szCs w:val="20"/>
    </w:rPr>
  </w:style>
  <w:style w:type="paragraph" w:styleId="TOC2">
    <w:name w:val="toc 2"/>
    <w:basedOn w:val="Normal"/>
    <w:next w:val="Normal"/>
    <w:uiPriority w:val="1"/>
    <w:semiHidden/>
    <w:rsid w:val="006B00B9"/>
    <w:pPr>
      <w:ind w:left="216"/>
    </w:pPr>
    <w:rPr>
      <w:rFonts w:asciiTheme="majorHAnsi" w:hAnsiTheme="majorHAnsi"/>
    </w:rPr>
  </w:style>
  <w:style w:type="character" w:customStyle="1" w:styleId="TOCHeadingChar">
    <w:name w:val="TOC Heading Char"/>
    <w:basedOn w:val="DefaultParagraphFont"/>
    <w:link w:val="TOCHeading"/>
    <w:uiPriority w:val="1"/>
    <w:rsid w:val="00660E58"/>
    <w:rPr>
      <w:rFonts w:asciiTheme="majorHAnsi" w:eastAsia="Times New Roman" w:hAnsiTheme="majorHAnsi" w:cs="Times New Roman"/>
      <w:b/>
      <w:sz w:val="40"/>
      <w:szCs w:val="24"/>
    </w:rPr>
  </w:style>
  <w:style w:type="table" w:customStyle="1" w:styleId="HHSFinancialData1">
    <w:name w:val="HHS Financial Data1"/>
    <w:basedOn w:val="TableNormal"/>
    <w:uiPriority w:val="99"/>
    <w:rsid w:val="00F5710A"/>
    <w:pPr>
      <w:jc w:val="right"/>
    </w:pPr>
    <w:rPr>
      <w:sz w:val="20"/>
      <w:szCs w:val="20"/>
    </w:rPr>
    <w:tblPr>
      <w:tblStyleRowBandSize w:val="1"/>
      <w:tblStyleColBandSize w:val="1"/>
      <w:tblBorders>
        <w:top w:val="single" w:sz="2" w:space="0" w:color="022167"/>
        <w:left w:val="single" w:sz="2" w:space="0" w:color="022167"/>
        <w:bottom w:val="single" w:sz="2" w:space="0" w:color="022167"/>
        <w:right w:val="single" w:sz="2" w:space="0" w:color="022167"/>
        <w:insideH w:val="single" w:sz="2" w:space="0" w:color="022167"/>
        <w:insideV w:val="single" w:sz="2" w:space="0" w:color="022167"/>
      </w:tblBorders>
      <w:tblCellMar>
        <w:left w:w="0" w:type="dxa"/>
        <w:right w:w="0" w:type="dxa"/>
      </w:tblCellMar>
    </w:tblPr>
    <w:trPr>
      <w:cantSplit/>
    </w:trPr>
    <w:tcPr>
      <w:vAlign w:val="bottom"/>
    </w:tcPr>
    <w:tblStylePr w:type="firstRow">
      <w:pPr>
        <w:wordWrap/>
        <w:jc w:val="center"/>
      </w:pPr>
      <w:rPr>
        <w:rFonts w:ascii="Verdana" w:hAnsi="Verdana"/>
        <w:b/>
        <w:sz w:val="20"/>
      </w:rPr>
      <w:tblPr/>
      <w:trPr>
        <w:tblHeader/>
      </w:trPr>
      <w:tcPr>
        <w:shd w:val="clear" w:color="auto" w:fill="C4DDF4"/>
      </w:tcPr>
    </w:tblStylePr>
    <w:tblStylePr w:type="lastRow">
      <w:rPr>
        <w:b/>
      </w:rPr>
      <w:tblPr/>
      <w:tcPr>
        <w:shd w:val="clear" w:color="auto" w:fill="C4DDF4"/>
      </w:tcPr>
    </w:tblStylePr>
    <w:tblStylePr w:type="firstCol">
      <w:pPr>
        <w:wordWrap/>
        <w:jc w:val="left"/>
      </w:pPr>
      <w:rPr>
        <w:b/>
      </w:rPr>
      <w:tblPr/>
      <w:tcPr>
        <w:tcMar>
          <w:top w:w="0" w:type="dxa"/>
          <w:left w:w="0" w:type="dxa"/>
          <w:bottom w:w="0" w:type="dxa"/>
          <w:right w:w="0" w:type="dxa"/>
        </w:tcMar>
      </w:tcPr>
    </w:tblStylePr>
    <w:tblStylePr w:type="lastCol">
      <w:rPr>
        <w:b/>
      </w:rPr>
      <w:tblPr/>
      <w:tcPr>
        <w:shd w:val="clear" w:color="auto" w:fill="C4DDF4"/>
      </w:tcPr>
    </w:tblStylePr>
    <w:tblStylePr w:type="band2Horz">
      <w:tblPr/>
      <w:tcPr>
        <w:shd w:val="clear" w:color="auto" w:fill="E1EEF9"/>
      </w:tcPr>
    </w:tblStylePr>
    <w:tblStylePr w:type="nwCell">
      <w:pPr>
        <w:wordWrap/>
        <w:jc w:val="center"/>
      </w:pPr>
      <w:tblPr/>
      <w:tcPr>
        <w:vAlign w:val="bottom"/>
      </w:tcPr>
    </w:tblStylePr>
    <w:tblStylePr w:type="swCell">
      <w:pPr>
        <w:jc w:val="left"/>
      </w:pPr>
      <w:tblPr/>
      <w:trPr>
        <w:cantSplit w:val="0"/>
      </w:trPr>
      <w:tcPr>
        <w:vAlign w:val="bottom"/>
      </w:tcPr>
    </w:tblStylePr>
  </w:style>
  <w:style w:type="paragraph" w:styleId="Revision">
    <w:name w:val="Revision"/>
    <w:hidden/>
    <w:uiPriority w:val="99"/>
    <w:semiHidden/>
    <w:rsid w:val="007C06CC"/>
    <w:rPr>
      <w:szCs w:val="20"/>
    </w:rPr>
  </w:style>
  <w:style w:type="table" w:styleId="LightList">
    <w:name w:val="Light List"/>
    <w:basedOn w:val="TableNormal"/>
    <w:uiPriority w:val="61"/>
    <w:rsid w:val="00D778F1"/>
    <w:rPr>
      <w:rFonts w:eastAsiaTheme="minorEastAsia"/>
    </w:rPr>
    <w:tblPr>
      <w:tblStyleRowBandSize w:val="1"/>
      <w:tblStyleColBandSize w:val="1"/>
      <w:tblBorders>
        <w:top w:val="single" w:sz="8" w:space="0" w:color="022167" w:themeColor="text1"/>
        <w:left w:val="single" w:sz="8" w:space="0" w:color="022167" w:themeColor="text1"/>
        <w:bottom w:val="single" w:sz="8" w:space="0" w:color="022167" w:themeColor="text1"/>
        <w:right w:val="single" w:sz="8" w:space="0" w:color="022167" w:themeColor="text1"/>
      </w:tblBorders>
    </w:tblPr>
    <w:tblStylePr w:type="firstRow">
      <w:pPr>
        <w:spacing w:before="0" w:after="0" w:line="240" w:lineRule="auto"/>
      </w:pPr>
      <w:rPr>
        <w:b/>
        <w:bCs/>
        <w:color w:val="FFFFFF" w:themeColor="background1"/>
      </w:rPr>
      <w:tblPr/>
      <w:tcPr>
        <w:shd w:val="clear" w:color="auto" w:fill="022167" w:themeFill="text1"/>
      </w:tcPr>
    </w:tblStylePr>
    <w:tblStylePr w:type="lastRow">
      <w:pPr>
        <w:spacing w:before="0" w:after="0" w:line="240" w:lineRule="auto"/>
      </w:pPr>
      <w:rPr>
        <w:b/>
        <w:bCs/>
      </w:rPr>
      <w:tblPr/>
      <w:tcPr>
        <w:tcBorders>
          <w:top w:val="double" w:sz="6" w:space="0" w:color="022167" w:themeColor="text1"/>
          <w:left w:val="single" w:sz="8" w:space="0" w:color="022167" w:themeColor="text1"/>
          <w:bottom w:val="single" w:sz="8" w:space="0" w:color="022167" w:themeColor="text1"/>
          <w:right w:val="single" w:sz="8" w:space="0" w:color="022167" w:themeColor="text1"/>
        </w:tcBorders>
      </w:tcPr>
    </w:tblStylePr>
    <w:tblStylePr w:type="firstCol">
      <w:rPr>
        <w:b/>
        <w:bCs/>
      </w:rPr>
    </w:tblStylePr>
    <w:tblStylePr w:type="lastCol">
      <w:rPr>
        <w:b/>
        <w:bCs/>
      </w:rPr>
    </w:tblStylePr>
    <w:tblStylePr w:type="band1Vert">
      <w:tblPr/>
      <w:tcPr>
        <w:tcBorders>
          <w:top w:val="single" w:sz="8" w:space="0" w:color="022167" w:themeColor="text1"/>
          <w:left w:val="single" w:sz="8" w:space="0" w:color="022167" w:themeColor="text1"/>
          <w:bottom w:val="single" w:sz="8" w:space="0" w:color="022167" w:themeColor="text1"/>
          <w:right w:val="single" w:sz="8" w:space="0" w:color="022167" w:themeColor="text1"/>
        </w:tcBorders>
      </w:tcPr>
    </w:tblStylePr>
    <w:tblStylePr w:type="band1Horz">
      <w:tblPr/>
      <w:tcPr>
        <w:tcBorders>
          <w:top w:val="single" w:sz="8" w:space="0" w:color="022167" w:themeColor="text1"/>
          <w:left w:val="single" w:sz="8" w:space="0" w:color="022167" w:themeColor="text1"/>
          <w:bottom w:val="single" w:sz="8" w:space="0" w:color="022167" w:themeColor="text1"/>
          <w:right w:val="single" w:sz="8" w:space="0" w:color="022167" w:themeColor="text1"/>
        </w:tcBorders>
      </w:tcPr>
    </w:tblStylePr>
  </w:style>
  <w:style w:type="character" w:styleId="Mention">
    <w:name w:val="Mention"/>
    <w:basedOn w:val="DefaultParagraphFont"/>
    <w:uiPriority w:val="99"/>
    <w:unhideWhenUsed/>
    <w:rsid w:val="007A2E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248704">
      <w:bodyDiv w:val="1"/>
      <w:marLeft w:val="0"/>
      <w:marRight w:val="0"/>
      <w:marTop w:val="0"/>
      <w:marBottom w:val="0"/>
      <w:divBdr>
        <w:top w:val="none" w:sz="0" w:space="0" w:color="auto"/>
        <w:left w:val="none" w:sz="0" w:space="0" w:color="auto"/>
        <w:bottom w:val="none" w:sz="0" w:space="0" w:color="auto"/>
        <w:right w:val="none" w:sz="0" w:space="0" w:color="auto"/>
      </w:divBdr>
      <w:divsChild>
        <w:div w:id="207769553">
          <w:marLeft w:val="0"/>
          <w:marRight w:val="0"/>
          <w:marTop w:val="0"/>
          <w:marBottom w:val="0"/>
          <w:divBdr>
            <w:top w:val="none" w:sz="0" w:space="0" w:color="auto"/>
            <w:left w:val="none" w:sz="0" w:space="0" w:color="auto"/>
            <w:bottom w:val="none" w:sz="0" w:space="0" w:color="auto"/>
            <w:right w:val="none" w:sz="0" w:space="0" w:color="auto"/>
          </w:divBdr>
          <w:divsChild>
            <w:div w:id="1980643405">
              <w:marLeft w:val="0"/>
              <w:marRight w:val="0"/>
              <w:marTop w:val="0"/>
              <w:marBottom w:val="0"/>
              <w:divBdr>
                <w:top w:val="none" w:sz="0" w:space="0" w:color="auto"/>
                <w:left w:val="none" w:sz="0" w:space="0" w:color="auto"/>
                <w:bottom w:val="none" w:sz="0" w:space="0" w:color="auto"/>
                <w:right w:val="none" w:sz="0" w:space="0" w:color="auto"/>
              </w:divBdr>
              <w:divsChild>
                <w:div w:id="82075451">
                  <w:marLeft w:val="0"/>
                  <w:marRight w:val="0"/>
                  <w:marTop w:val="0"/>
                  <w:marBottom w:val="0"/>
                  <w:divBdr>
                    <w:top w:val="none" w:sz="0" w:space="0" w:color="auto"/>
                    <w:left w:val="none" w:sz="0" w:space="0" w:color="auto"/>
                    <w:bottom w:val="none" w:sz="0" w:space="0" w:color="auto"/>
                    <w:right w:val="none" w:sz="0" w:space="0" w:color="auto"/>
                  </w:divBdr>
                  <w:divsChild>
                    <w:div w:id="20117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94987">
      <w:bodyDiv w:val="1"/>
      <w:marLeft w:val="0"/>
      <w:marRight w:val="0"/>
      <w:marTop w:val="0"/>
      <w:marBottom w:val="0"/>
      <w:divBdr>
        <w:top w:val="none" w:sz="0" w:space="0" w:color="auto"/>
        <w:left w:val="none" w:sz="0" w:space="0" w:color="auto"/>
        <w:bottom w:val="none" w:sz="0" w:space="0" w:color="auto"/>
        <w:right w:val="none" w:sz="0" w:space="0" w:color="auto"/>
      </w:divBdr>
    </w:div>
    <w:div w:id="167372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xreg.sos.state.tx.us/public/readtac$ext.TacPage?sl=R&amp;app=9&amp;p_dir=&amp;p_rloc=&amp;p_tloc=&amp;p_ploc=&amp;pg=1&amp;p_tac=&amp;ti=26&amp;pt=1&amp;ch=301&amp;rl=259"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erformance.Contracts@hhs.texas.gov" TargetMode="External"/><Relationship Id="rId17" Type="http://schemas.openxmlformats.org/officeDocument/2006/relationships/hyperlink" Target="https://texreg.sos.state.tx.us/public/readtac$ext.TacPage?sl=R&amp;app=9&amp;p_dir=&amp;p_rloc=&amp;p_tloc=&amp;p_ploc=&amp;pg=1&amp;p_tac=&amp;ti=26&amp;pt=1&amp;ch=301&amp;rl=259" TargetMode="External"/><Relationship Id="rId2" Type="http://schemas.openxmlformats.org/officeDocument/2006/relationships/customXml" Target="../customXml/item2.xml"/><Relationship Id="rId16" Type="http://schemas.openxmlformats.org/officeDocument/2006/relationships/hyperlink" Target="https://www.hhs.texas.gov/providers/behavioral-health-services-providers/behavioral-health-provider-resources/contracting-a-local-mental-health-authority-or-local-behavioral-health-authorit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erformance.Contracts@hhs.texas.go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btrail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assidy477\Downloads\general-design-1%20(2).dotx" TargetMode="External"/></Relationships>
</file>

<file path=word/theme/theme1.xml><?xml version="1.0" encoding="utf-8"?>
<a:theme xmlns:a="http://schemas.openxmlformats.org/drawingml/2006/main" name="HHS Basic Theme 2.0">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965D5"/>
      </a:hlink>
      <a:folHlink>
        <a:srgbClr val="0965D5"/>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5FFC7EC0514243AB5FB5AB909F5CE5" ma:contentTypeVersion="6" ma:contentTypeDescription="Create a new document." ma:contentTypeScope="" ma:versionID="9a29a1df2d0e18bc6b992354966b93fa">
  <xsd:schema xmlns:xsd="http://www.w3.org/2001/XMLSchema" xmlns:xs="http://www.w3.org/2001/XMLSchema" xmlns:p="http://schemas.microsoft.com/office/2006/metadata/properties" xmlns:ns2="0012d2dc-bd70-4d6a-af4e-e116a99bfac7" targetNamespace="http://schemas.microsoft.com/office/2006/metadata/properties" ma:root="true" ma:fieldsID="a96393408dbb27b1eda8f633bf9f327f" ns2:_="">
    <xsd:import namespace="0012d2dc-bd70-4d6a-af4e-e116a99bfa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2d2dc-bd70-4d6a-af4e-e116a99bf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8CAF6E-6F09-4FC5-B514-8D0B57C4029D}">
  <ds:schemaRefs>
    <ds:schemaRef ds:uri="http://schemas.microsoft.com/sharepoint/v3/contenttype/forms"/>
  </ds:schemaRefs>
</ds:datastoreItem>
</file>

<file path=customXml/itemProps2.xml><?xml version="1.0" encoding="utf-8"?>
<ds:datastoreItem xmlns:ds="http://schemas.openxmlformats.org/officeDocument/2006/customXml" ds:itemID="{F6AD4736-0B04-4050-9BE5-264AB07A9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2d2dc-bd70-4d6a-af4e-e116a99bfa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61F723-A370-4FE6-8DD3-052DCA7C885D}">
  <ds:schemaRefs>
    <ds:schemaRef ds:uri="http://schemas.openxmlformats.org/officeDocument/2006/bibliography"/>
  </ds:schemaRefs>
</ds:datastoreItem>
</file>

<file path=customXml/itemProps4.xml><?xml version="1.0" encoding="utf-8"?>
<ds:datastoreItem xmlns:ds="http://schemas.openxmlformats.org/officeDocument/2006/customXml" ds:itemID="{39E2A209-4273-45C5-BB5E-E10F2CB71745}">
  <ds:schemaRefs>
    <ds:schemaRef ds:uri="http://www.w3.org/XML/1998/namespace"/>
    <ds:schemaRef ds:uri="http://purl.org/dc/elements/1.1/"/>
    <ds:schemaRef ds:uri="http://schemas.openxmlformats.org/package/2006/metadata/core-properties"/>
    <ds:schemaRef ds:uri="http://purl.org/dc/terms/"/>
    <ds:schemaRef ds:uri="http://purl.org/dc/dcmitype/"/>
    <ds:schemaRef ds:uri="http://schemas.microsoft.com/office/2006/documentManagement/types"/>
    <ds:schemaRef ds:uri="http://schemas.microsoft.com/office/infopath/2007/PartnerControls"/>
    <ds:schemaRef ds:uri="0012d2dc-bd70-4d6a-af4e-e116a99bfac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general-design-1 (2)</Template>
  <TotalTime>17</TotalTime>
  <Pages>23</Pages>
  <Words>4569</Words>
  <Characters>26895</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Cassidy,Angela (HHSC)</dc:creator>
  <cp:keywords/>
  <dc:description>Template updated 6/1/2023.</dc:description>
  <cp:lastModifiedBy>Guerrero, Tiffany</cp:lastModifiedBy>
  <cp:revision>4</cp:revision>
  <dcterms:created xsi:type="dcterms:W3CDTF">2024-11-27T14:28:00Z</dcterms:created>
  <dcterms:modified xsi:type="dcterms:W3CDTF">2024-11-27T14:39:00Z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0x010100375FFC7EC0514243AB5FB5AB909F5CE5</vt:lpwstr>
  </property>
</Properties>
</file>