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7EB44" w14:textId="55A6245E" w:rsidR="00C22160" w:rsidRPr="003E7CCC" w:rsidRDefault="003E7CCC" w:rsidP="003E7CCC">
      <w:pPr>
        <w:widowControl/>
        <w:autoSpaceDE/>
        <w:autoSpaceDN/>
        <w:jc w:val="center"/>
        <w:rPr>
          <w:rFonts w:ascii="Calibri" w:eastAsia="Times New Roman" w:hAnsi="Calibri" w:cs="Times New Roman"/>
          <w:color w:val="2F5496"/>
          <w:sz w:val="32"/>
        </w:rPr>
      </w:pPr>
      <w:r w:rsidRPr="003E7CCC">
        <w:rPr>
          <w:rFonts w:ascii="Calibri" w:eastAsia="Times New Roman" w:hAnsi="Calibri" w:cs="Times New Roman"/>
          <w:color w:val="2F5496"/>
          <w:sz w:val="32"/>
        </w:rPr>
        <w:t>Charity Care Procedure</w:t>
      </w:r>
    </w:p>
    <w:p w14:paraId="52A953AA" w14:textId="77777777" w:rsidR="00C22160" w:rsidRDefault="00C22160" w:rsidP="00EF5F6B">
      <w:pPr>
        <w:pStyle w:val="BodyText"/>
        <w:rPr>
          <w:b/>
          <w:sz w:val="20"/>
        </w:rPr>
      </w:pPr>
    </w:p>
    <w:sdt>
      <w:sdtPr>
        <w:rPr>
          <w:rFonts w:ascii="Segoe UI" w:eastAsia="Segoe UI" w:hAnsi="Segoe UI" w:cs="Segoe UI"/>
          <w:color w:val="auto"/>
          <w:sz w:val="22"/>
          <w:szCs w:val="22"/>
        </w:rPr>
        <w:id w:val="2138212134"/>
        <w:docPartObj>
          <w:docPartGallery w:val="Table of Contents"/>
          <w:docPartUnique/>
        </w:docPartObj>
      </w:sdtPr>
      <w:sdtEndPr>
        <w:rPr>
          <w:b/>
          <w:bCs/>
          <w:noProof/>
        </w:rPr>
      </w:sdtEndPr>
      <w:sdtContent>
        <w:p w14:paraId="719A9C58" w14:textId="7918992D" w:rsidR="00AA4353" w:rsidRPr="00AF269D" w:rsidRDefault="00AA4353" w:rsidP="00AF269D">
          <w:pPr>
            <w:pStyle w:val="TOCHeading"/>
            <w:spacing w:before="0"/>
            <w:rPr>
              <w:rFonts w:ascii="Calibri Light" w:eastAsia="Times New Roman" w:hAnsi="Calibri Light" w:cs="Times New Roman"/>
              <w:color w:val="2F5496"/>
              <w:sz w:val="26"/>
              <w:szCs w:val="26"/>
            </w:rPr>
          </w:pPr>
          <w:r w:rsidRPr="00AF269D">
            <w:rPr>
              <w:rFonts w:ascii="Calibri Light" w:eastAsia="Times New Roman" w:hAnsi="Calibri Light" w:cs="Times New Roman"/>
              <w:color w:val="2F5496"/>
              <w:sz w:val="26"/>
              <w:szCs w:val="26"/>
            </w:rPr>
            <w:t>Contents</w:t>
          </w:r>
        </w:p>
        <w:p w14:paraId="48108FD3" w14:textId="4C81CBCE" w:rsidR="00AA4353" w:rsidRPr="00AF269D" w:rsidRDefault="00AA4353" w:rsidP="00AF269D">
          <w:pPr>
            <w:pStyle w:val="TOC2"/>
            <w:tabs>
              <w:tab w:val="right" w:leader="dot" w:pos="9350"/>
            </w:tabs>
            <w:spacing w:after="0"/>
            <w:ind w:left="0"/>
            <w:rPr>
              <w:rFonts w:ascii="Calibri Light" w:hAnsi="Calibri Light" w:cs="Calibri Light"/>
              <w:noProof/>
            </w:rPr>
          </w:pPr>
          <w:r>
            <w:fldChar w:fldCharType="begin"/>
          </w:r>
          <w:r>
            <w:instrText xml:space="preserve"> TOC \o "1-3" \h \z \u </w:instrText>
          </w:r>
          <w:r>
            <w:fldChar w:fldCharType="separate"/>
          </w:r>
          <w:hyperlink w:anchor="_Toc107400363" w:history="1">
            <w:r w:rsidRPr="00AF269D">
              <w:rPr>
                <w:rStyle w:val="Hyperlink"/>
                <w:rFonts w:ascii="Calibri Light" w:eastAsia="Times New Roman" w:hAnsi="Calibri Light" w:cs="Calibri Light"/>
                <w:noProof/>
              </w:rPr>
              <w:t>Purpose</w:t>
            </w:r>
            <w:r w:rsidRPr="00AF269D">
              <w:rPr>
                <w:rFonts w:ascii="Calibri Light" w:hAnsi="Calibri Light" w:cs="Calibri Light"/>
                <w:noProof/>
                <w:webHidden/>
              </w:rPr>
              <w:tab/>
            </w:r>
            <w:r w:rsidRPr="00AF269D">
              <w:rPr>
                <w:rFonts w:ascii="Calibri Light" w:hAnsi="Calibri Light" w:cs="Calibri Light"/>
                <w:noProof/>
                <w:webHidden/>
              </w:rPr>
              <w:fldChar w:fldCharType="begin"/>
            </w:r>
            <w:r w:rsidRPr="00AF269D">
              <w:rPr>
                <w:rFonts w:ascii="Calibri Light" w:hAnsi="Calibri Light" w:cs="Calibri Light"/>
                <w:noProof/>
                <w:webHidden/>
              </w:rPr>
              <w:instrText xml:space="preserve"> PAGEREF _Toc107400363 \h </w:instrText>
            </w:r>
            <w:r w:rsidRPr="00AF269D">
              <w:rPr>
                <w:rFonts w:ascii="Calibri Light" w:hAnsi="Calibri Light" w:cs="Calibri Light"/>
                <w:noProof/>
                <w:webHidden/>
              </w:rPr>
            </w:r>
            <w:r w:rsidRPr="00AF269D">
              <w:rPr>
                <w:rFonts w:ascii="Calibri Light" w:hAnsi="Calibri Light" w:cs="Calibri Light"/>
                <w:noProof/>
                <w:webHidden/>
              </w:rPr>
              <w:fldChar w:fldCharType="separate"/>
            </w:r>
            <w:r w:rsidR="007B2E5C">
              <w:rPr>
                <w:rFonts w:ascii="Calibri Light" w:hAnsi="Calibri Light" w:cs="Calibri Light"/>
                <w:noProof/>
                <w:webHidden/>
              </w:rPr>
              <w:t>1</w:t>
            </w:r>
            <w:r w:rsidRPr="00AF269D">
              <w:rPr>
                <w:rFonts w:ascii="Calibri Light" w:hAnsi="Calibri Light" w:cs="Calibri Light"/>
                <w:noProof/>
                <w:webHidden/>
              </w:rPr>
              <w:fldChar w:fldCharType="end"/>
            </w:r>
          </w:hyperlink>
        </w:p>
        <w:p w14:paraId="3E6A7096" w14:textId="53CC1ABD" w:rsidR="00AA4353" w:rsidRPr="00AF269D" w:rsidRDefault="00AA4353" w:rsidP="00AF269D">
          <w:pPr>
            <w:pStyle w:val="TOC2"/>
            <w:tabs>
              <w:tab w:val="right" w:leader="dot" w:pos="9350"/>
            </w:tabs>
            <w:spacing w:after="0"/>
            <w:ind w:left="0"/>
            <w:rPr>
              <w:rFonts w:ascii="Calibri Light" w:hAnsi="Calibri Light" w:cs="Calibri Light"/>
              <w:noProof/>
            </w:rPr>
          </w:pPr>
          <w:hyperlink w:anchor="_Toc107400364" w:history="1">
            <w:r w:rsidRPr="00AF269D">
              <w:rPr>
                <w:rStyle w:val="Hyperlink"/>
                <w:rFonts w:ascii="Calibri Light" w:eastAsia="Times New Roman" w:hAnsi="Calibri Light" w:cs="Calibri Light"/>
                <w:noProof/>
              </w:rPr>
              <w:t>Definitions</w:t>
            </w:r>
            <w:r w:rsidRPr="00AF269D">
              <w:rPr>
                <w:rFonts w:ascii="Calibri Light" w:hAnsi="Calibri Light" w:cs="Calibri Light"/>
                <w:noProof/>
                <w:webHidden/>
              </w:rPr>
              <w:tab/>
            </w:r>
            <w:r w:rsidRPr="00AF269D">
              <w:rPr>
                <w:rFonts w:ascii="Calibri Light" w:hAnsi="Calibri Light" w:cs="Calibri Light"/>
                <w:noProof/>
                <w:webHidden/>
              </w:rPr>
              <w:fldChar w:fldCharType="begin"/>
            </w:r>
            <w:r w:rsidRPr="00AF269D">
              <w:rPr>
                <w:rFonts w:ascii="Calibri Light" w:hAnsi="Calibri Light" w:cs="Calibri Light"/>
                <w:noProof/>
                <w:webHidden/>
              </w:rPr>
              <w:instrText xml:space="preserve"> PAGEREF _Toc107400364 \h </w:instrText>
            </w:r>
            <w:r w:rsidRPr="00AF269D">
              <w:rPr>
                <w:rFonts w:ascii="Calibri Light" w:hAnsi="Calibri Light" w:cs="Calibri Light"/>
                <w:noProof/>
                <w:webHidden/>
              </w:rPr>
            </w:r>
            <w:r w:rsidRPr="00AF269D">
              <w:rPr>
                <w:rFonts w:ascii="Calibri Light" w:hAnsi="Calibri Light" w:cs="Calibri Light"/>
                <w:noProof/>
                <w:webHidden/>
              </w:rPr>
              <w:fldChar w:fldCharType="separate"/>
            </w:r>
            <w:r w:rsidR="007B2E5C">
              <w:rPr>
                <w:rFonts w:ascii="Calibri Light" w:hAnsi="Calibri Light" w:cs="Calibri Light"/>
                <w:noProof/>
                <w:webHidden/>
              </w:rPr>
              <w:t>1</w:t>
            </w:r>
            <w:r w:rsidRPr="00AF269D">
              <w:rPr>
                <w:rFonts w:ascii="Calibri Light" w:hAnsi="Calibri Light" w:cs="Calibri Light"/>
                <w:noProof/>
                <w:webHidden/>
              </w:rPr>
              <w:fldChar w:fldCharType="end"/>
            </w:r>
          </w:hyperlink>
        </w:p>
        <w:p w14:paraId="146E09A7" w14:textId="787C4A3C" w:rsidR="00AA4353" w:rsidRPr="00AF269D" w:rsidRDefault="00AA4353" w:rsidP="00AF269D">
          <w:pPr>
            <w:pStyle w:val="TOC2"/>
            <w:tabs>
              <w:tab w:val="right" w:leader="dot" w:pos="9350"/>
            </w:tabs>
            <w:spacing w:after="0"/>
            <w:ind w:left="0"/>
            <w:rPr>
              <w:rFonts w:ascii="Calibri Light" w:hAnsi="Calibri Light" w:cs="Calibri Light"/>
              <w:noProof/>
            </w:rPr>
          </w:pPr>
          <w:hyperlink w:anchor="_Toc107400365" w:history="1">
            <w:r w:rsidRPr="00AF269D">
              <w:rPr>
                <w:rStyle w:val="Hyperlink"/>
                <w:rFonts w:ascii="Calibri Light" w:eastAsia="Times New Roman" w:hAnsi="Calibri Light" w:cs="Calibri Light"/>
                <w:noProof/>
              </w:rPr>
              <w:t>Procedure</w:t>
            </w:r>
            <w:r w:rsidRPr="00AF269D">
              <w:rPr>
                <w:rFonts w:ascii="Calibri Light" w:hAnsi="Calibri Light" w:cs="Calibri Light"/>
                <w:noProof/>
                <w:webHidden/>
              </w:rPr>
              <w:tab/>
            </w:r>
            <w:r w:rsidRPr="00AF269D">
              <w:rPr>
                <w:rFonts w:ascii="Calibri Light" w:hAnsi="Calibri Light" w:cs="Calibri Light"/>
                <w:noProof/>
                <w:webHidden/>
              </w:rPr>
              <w:fldChar w:fldCharType="begin"/>
            </w:r>
            <w:r w:rsidRPr="00AF269D">
              <w:rPr>
                <w:rFonts w:ascii="Calibri Light" w:hAnsi="Calibri Light" w:cs="Calibri Light"/>
                <w:noProof/>
                <w:webHidden/>
              </w:rPr>
              <w:instrText xml:space="preserve"> PAGEREF _Toc107400365 \h </w:instrText>
            </w:r>
            <w:r w:rsidRPr="00AF269D">
              <w:rPr>
                <w:rFonts w:ascii="Calibri Light" w:hAnsi="Calibri Light" w:cs="Calibri Light"/>
                <w:noProof/>
                <w:webHidden/>
              </w:rPr>
            </w:r>
            <w:r w:rsidRPr="00AF269D">
              <w:rPr>
                <w:rFonts w:ascii="Calibri Light" w:hAnsi="Calibri Light" w:cs="Calibri Light"/>
                <w:noProof/>
                <w:webHidden/>
              </w:rPr>
              <w:fldChar w:fldCharType="separate"/>
            </w:r>
            <w:r w:rsidR="007B2E5C">
              <w:rPr>
                <w:rFonts w:ascii="Calibri Light" w:hAnsi="Calibri Light" w:cs="Calibri Light"/>
                <w:noProof/>
                <w:webHidden/>
              </w:rPr>
              <w:t>2</w:t>
            </w:r>
            <w:r w:rsidRPr="00AF269D">
              <w:rPr>
                <w:rFonts w:ascii="Calibri Light" w:hAnsi="Calibri Light" w:cs="Calibri Light"/>
                <w:noProof/>
                <w:webHidden/>
              </w:rPr>
              <w:fldChar w:fldCharType="end"/>
            </w:r>
          </w:hyperlink>
        </w:p>
        <w:p w14:paraId="5C75195E" w14:textId="46B9FFF9" w:rsidR="00AA4353" w:rsidRPr="00AF269D" w:rsidRDefault="00AA4353" w:rsidP="00AF269D">
          <w:pPr>
            <w:pStyle w:val="TOC3"/>
            <w:tabs>
              <w:tab w:val="left" w:pos="880"/>
              <w:tab w:val="right" w:leader="dot" w:pos="9350"/>
            </w:tabs>
            <w:spacing w:after="0"/>
            <w:ind w:left="360"/>
            <w:rPr>
              <w:rFonts w:ascii="Calibri Light" w:hAnsi="Calibri Light" w:cs="Calibri Light"/>
              <w:noProof/>
            </w:rPr>
          </w:pPr>
          <w:hyperlink w:anchor="_Toc107400366" w:history="1">
            <w:r w:rsidRPr="00AF269D">
              <w:rPr>
                <w:rStyle w:val="Hyperlink"/>
                <w:rFonts w:ascii="Calibri Light" w:eastAsia="Times New Roman" w:hAnsi="Calibri Light" w:cs="Calibri Light"/>
                <w:noProof/>
              </w:rPr>
              <w:t>I.</w:t>
            </w:r>
            <w:r w:rsidRPr="00AF269D">
              <w:rPr>
                <w:rFonts w:ascii="Calibri Light" w:hAnsi="Calibri Light" w:cs="Calibri Light"/>
                <w:noProof/>
              </w:rPr>
              <w:tab/>
            </w:r>
            <w:r w:rsidRPr="00AF269D">
              <w:rPr>
                <w:rStyle w:val="Hyperlink"/>
                <w:rFonts w:ascii="Calibri Light" w:eastAsia="Times New Roman" w:hAnsi="Calibri Light" w:cs="Calibri Light"/>
                <w:noProof/>
              </w:rPr>
              <w:t>Eligible Services</w:t>
            </w:r>
            <w:r w:rsidRPr="00AF269D">
              <w:rPr>
                <w:rFonts w:ascii="Calibri Light" w:hAnsi="Calibri Light" w:cs="Calibri Light"/>
                <w:noProof/>
                <w:webHidden/>
              </w:rPr>
              <w:tab/>
            </w:r>
            <w:r w:rsidRPr="00AF269D">
              <w:rPr>
                <w:rFonts w:ascii="Calibri Light" w:hAnsi="Calibri Light" w:cs="Calibri Light"/>
                <w:noProof/>
                <w:webHidden/>
              </w:rPr>
              <w:fldChar w:fldCharType="begin"/>
            </w:r>
            <w:r w:rsidRPr="00AF269D">
              <w:rPr>
                <w:rFonts w:ascii="Calibri Light" w:hAnsi="Calibri Light" w:cs="Calibri Light"/>
                <w:noProof/>
                <w:webHidden/>
              </w:rPr>
              <w:instrText xml:space="preserve"> PAGEREF _Toc107400366 \h </w:instrText>
            </w:r>
            <w:r w:rsidRPr="00AF269D">
              <w:rPr>
                <w:rFonts w:ascii="Calibri Light" w:hAnsi="Calibri Light" w:cs="Calibri Light"/>
                <w:noProof/>
                <w:webHidden/>
              </w:rPr>
            </w:r>
            <w:r w:rsidRPr="00AF269D">
              <w:rPr>
                <w:rFonts w:ascii="Calibri Light" w:hAnsi="Calibri Light" w:cs="Calibri Light"/>
                <w:noProof/>
                <w:webHidden/>
              </w:rPr>
              <w:fldChar w:fldCharType="separate"/>
            </w:r>
            <w:r w:rsidR="007B2E5C">
              <w:rPr>
                <w:rFonts w:ascii="Calibri Light" w:hAnsi="Calibri Light" w:cs="Calibri Light"/>
                <w:noProof/>
                <w:webHidden/>
              </w:rPr>
              <w:t>2</w:t>
            </w:r>
            <w:r w:rsidRPr="00AF269D">
              <w:rPr>
                <w:rFonts w:ascii="Calibri Light" w:hAnsi="Calibri Light" w:cs="Calibri Light"/>
                <w:noProof/>
                <w:webHidden/>
              </w:rPr>
              <w:fldChar w:fldCharType="end"/>
            </w:r>
          </w:hyperlink>
        </w:p>
        <w:p w14:paraId="135B12DA" w14:textId="08C58F31" w:rsidR="00AA4353" w:rsidRPr="00AF269D" w:rsidRDefault="00AA4353" w:rsidP="00AF269D">
          <w:pPr>
            <w:pStyle w:val="TOC3"/>
            <w:tabs>
              <w:tab w:val="left" w:pos="880"/>
              <w:tab w:val="right" w:leader="dot" w:pos="9350"/>
            </w:tabs>
            <w:spacing w:after="0"/>
            <w:ind w:left="360"/>
            <w:rPr>
              <w:rFonts w:ascii="Calibri Light" w:hAnsi="Calibri Light" w:cs="Calibri Light"/>
              <w:noProof/>
            </w:rPr>
          </w:pPr>
          <w:hyperlink w:anchor="_Toc107400367" w:history="1">
            <w:r w:rsidRPr="00AF269D">
              <w:rPr>
                <w:rStyle w:val="Hyperlink"/>
                <w:rFonts w:ascii="Calibri Light" w:eastAsia="Times New Roman" w:hAnsi="Calibri Light" w:cs="Calibri Light"/>
                <w:noProof/>
              </w:rPr>
              <w:t>II.</w:t>
            </w:r>
            <w:r w:rsidRPr="00AF269D">
              <w:rPr>
                <w:rFonts w:ascii="Calibri Light" w:hAnsi="Calibri Light" w:cs="Calibri Light"/>
                <w:noProof/>
              </w:rPr>
              <w:tab/>
            </w:r>
            <w:r w:rsidRPr="00AF269D">
              <w:rPr>
                <w:rStyle w:val="Hyperlink"/>
                <w:rFonts w:ascii="Calibri Light" w:eastAsia="Times New Roman" w:hAnsi="Calibri Light" w:cs="Calibri Light"/>
                <w:noProof/>
              </w:rPr>
              <w:t>Eligibility</w:t>
            </w:r>
            <w:r w:rsidRPr="00AF269D">
              <w:rPr>
                <w:rFonts w:ascii="Calibri Light" w:hAnsi="Calibri Light" w:cs="Calibri Light"/>
                <w:noProof/>
                <w:webHidden/>
              </w:rPr>
              <w:tab/>
            </w:r>
            <w:r w:rsidRPr="00AF269D">
              <w:rPr>
                <w:rFonts w:ascii="Calibri Light" w:hAnsi="Calibri Light" w:cs="Calibri Light"/>
                <w:noProof/>
                <w:webHidden/>
              </w:rPr>
              <w:fldChar w:fldCharType="begin"/>
            </w:r>
            <w:r w:rsidRPr="00AF269D">
              <w:rPr>
                <w:rFonts w:ascii="Calibri Light" w:hAnsi="Calibri Light" w:cs="Calibri Light"/>
                <w:noProof/>
                <w:webHidden/>
              </w:rPr>
              <w:instrText xml:space="preserve"> PAGEREF _Toc107400367 \h </w:instrText>
            </w:r>
            <w:r w:rsidRPr="00AF269D">
              <w:rPr>
                <w:rFonts w:ascii="Calibri Light" w:hAnsi="Calibri Light" w:cs="Calibri Light"/>
                <w:noProof/>
                <w:webHidden/>
              </w:rPr>
            </w:r>
            <w:r w:rsidRPr="00AF269D">
              <w:rPr>
                <w:rFonts w:ascii="Calibri Light" w:hAnsi="Calibri Light" w:cs="Calibri Light"/>
                <w:noProof/>
                <w:webHidden/>
              </w:rPr>
              <w:fldChar w:fldCharType="separate"/>
            </w:r>
            <w:r w:rsidR="007B2E5C">
              <w:rPr>
                <w:rFonts w:ascii="Calibri Light" w:hAnsi="Calibri Light" w:cs="Calibri Light"/>
                <w:noProof/>
                <w:webHidden/>
              </w:rPr>
              <w:t>2</w:t>
            </w:r>
            <w:r w:rsidRPr="00AF269D">
              <w:rPr>
                <w:rFonts w:ascii="Calibri Light" w:hAnsi="Calibri Light" w:cs="Calibri Light"/>
                <w:noProof/>
                <w:webHidden/>
              </w:rPr>
              <w:fldChar w:fldCharType="end"/>
            </w:r>
          </w:hyperlink>
        </w:p>
        <w:p w14:paraId="27EEF7A9" w14:textId="58336CAA" w:rsidR="00AA4353" w:rsidRPr="00AF269D" w:rsidRDefault="00AA4353" w:rsidP="00AF269D">
          <w:pPr>
            <w:pStyle w:val="TOC3"/>
            <w:tabs>
              <w:tab w:val="left" w:pos="880"/>
              <w:tab w:val="right" w:leader="dot" w:pos="9350"/>
            </w:tabs>
            <w:spacing w:after="0"/>
            <w:ind w:left="360"/>
            <w:rPr>
              <w:rFonts w:ascii="Calibri Light" w:hAnsi="Calibri Light" w:cs="Calibri Light"/>
              <w:noProof/>
            </w:rPr>
          </w:pPr>
          <w:hyperlink w:anchor="_Toc107400368" w:history="1">
            <w:r w:rsidRPr="00AF269D">
              <w:rPr>
                <w:rStyle w:val="Hyperlink"/>
                <w:rFonts w:ascii="Calibri Light" w:eastAsia="Times New Roman" w:hAnsi="Calibri Light" w:cs="Calibri Light"/>
                <w:noProof/>
              </w:rPr>
              <w:t>III.</w:t>
            </w:r>
            <w:r w:rsidRPr="00AF269D">
              <w:rPr>
                <w:rFonts w:ascii="Calibri Light" w:hAnsi="Calibri Light" w:cs="Calibri Light"/>
                <w:noProof/>
              </w:rPr>
              <w:tab/>
            </w:r>
            <w:r w:rsidRPr="00AF269D">
              <w:rPr>
                <w:rStyle w:val="Hyperlink"/>
                <w:rFonts w:ascii="Calibri Light" w:eastAsia="Times New Roman" w:hAnsi="Calibri Light" w:cs="Calibri Light"/>
                <w:noProof/>
              </w:rPr>
              <w:t>Communication of the Charity Care Program to the Community and Individuals Served</w:t>
            </w:r>
            <w:r w:rsidRPr="00AF269D">
              <w:rPr>
                <w:rFonts w:ascii="Calibri Light" w:hAnsi="Calibri Light" w:cs="Calibri Light"/>
                <w:noProof/>
                <w:webHidden/>
              </w:rPr>
              <w:tab/>
            </w:r>
            <w:r w:rsidRPr="00AF269D">
              <w:rPr>
                <w:rFonts w:ascii="Calibri Light" w:hAnsi="Calibri Light" w:cs="Calibri Light"/>
                <w:noProof/>
                <w:webHidden/>
              </w:rPr>
              <w:fldChar w:fldCharType="begin"/>
            </w:r>
            <w:r w:rsidRPr="00AF269D">
              <w:rPr>
                <w:rFonts w:ascii="Calibri Light" w:hAnsi="Calibri Light" w:cs="Calibri Light"/>
                <w:noProof/>
                <w:webHidden/>
              </w:rPr>
              <w:instrText xml:space="preserve"> PAGEREF _Toc107400368 \h </w:instrText>
            </w:r>
            <w:r w:rsidRPr="00AF269D">
              <w:rPr>
                <w:rFonts w:ascii="Calibri Light" w:hAnsi="Calibri Light" w:cs="Calibri Light"/>
                <w:noProof/>
                <w:webHidden/>
              </w:rPr>
            </w:r>
            <w:r w:rsidRPr="00AF269D">
              <w:rPr>
                <w:rFonts w:ascii="Calibri Light" w:hAnsi="Calibri Light" w:cs="Calibri Light"/>
                <w:noProof/>
                <w:webHidden/>
              </w:rPr>
              <w:fldChar w:fldCharType="separate"/>
            </w:r>
            <w:r w:rsidR="007B2E5C">
              <w:rPr>
                <w:rFonts w:ascii="Calibri Light" w:hAnsi="Calibri Light" w:cs="Calibri Light"/>
                <w:noProof/>
                <w:webHidden/>
              </w:rPr>
              <w:t>4</w:t>
            </w:r>
            <w:r w:rsidRPr="00AF269D">
              <w:rPr>
                <w:rFonts w:ascii="Calibri Light" w:hAnsi="Calibri Light" w:cs="Calibri Light"/>
                <w:noProof/>
                <w:webHidden/>
              </w:rPr>
              <w:fldChar w:fldCharType="end"/>
            </w:r>
          </w:hyperlink>
        </w:p>
        <w:p w14:paraId="159FC64B" w14:textId="75130004" w:rsidR="00AA4353" w:rsidRPr="00AF269D" w:rsidRDefault="00AA4353" w:rsidP="00AF269D">
          <w:pPr>
            <w:pStyle w:val="TOC3"/>
            <w:tabs>
              <w:tab w:val="left" w:pos="1100"/>
              <w:tab w:val="right" w:leader="dot" w:pos="9350"/>
            </w:tabs>
            <w:spacing w:after="0"/>
            <w:ind w:left="360"/>
            <w:rPr>
              <w:rFonts w:ascii="Calibri Light" w:hAnsi="Calibri Light" w:cs="Calibri Light"/>
              <w:noProof/>
            </w:rPr>
          </w:pPr>
          <w:hyperlink w:anchor="_Toc107400369" w:history="1">
            <w:r w:rsidRPr="00AF269D">
              <w:rPr>
                <w:rStyle w:val="Hyperlink"/>
                <w:rFonts w:ascii="Calibri Light" w:eastAsia="Times New Roman" w:hAnsi="Calibri Light" w:cs="Calibri Light"/>
                <w:noProof/>
              </w:rPr>
              <w:t>IV.</w:t>
            </w:r>
            <w:r w:rsidR="00AF269D">
              <w:rPr>
                <w:rFonts w:ascii="Calibri Light" w:hAnsi="Calibri Light" w:cs="Calibri Light"/>
                <w:noProof/>
              </w:rPr>
              <w:t xml:space="preserve">      </w:t>
            </w:r>
            <w:r w:rsidRPr="00AF269D">
              <w:rPr>
                <w:rStyle w:val="Hyperlink"/>
                <w:rFonts w:ascii="Calibri Light" w:eastAsia="Times New Roman" w:hAnsi="Calibri Light" w:cs="Calibri Light"/>
                <w:noProof/>
              </w:rPr>
              <w:t>Relationship to Collection Procedures</w:t>
            </w:r>
            <w:r w:rsidRPr="00AF269D">
              <w:rPr>
                <w:rFonts w:ascii="Calibri Light" w:hAnsi="Calibri Light" w:cs="Calibri Light"/>
                <w:noProof/>
                <w:webHidden/>
              </w:rPr>
              <w:tab/>
            </w:r>
            <w:r w:rsidRPr="00AF269D">
              <w:rPr>
                <w:rFonts w:ascii="Calibri Light" w:hAnsi="Calibri Light" w:cs="Calibri Light"/>
                <w:noProof/>
                <w:webHidden/>
              </w:rPr>
              <w:fldChar w:fldCharType="begin"/>
            </w:r>
            <w:r w:rsidRPr="00AF269D">
              <w:rPr>
                <w:rFonts w:ascii="Calibri Light" w:hAnsi="Calibri Light" w:cs="Calibri Light"/>
                <w:noProof/>
                <w:webHidden/>
              </w:rPr>
              <w:instrText xml:space="preserve"> PAGEREF _Toc107400369 \h </w:instrText>
            </w:r>
            <w:r w:rsidRPr="00AF269D">
              <w:rPr>
                <w:rFonts w:ascii="Calibri Light" w:hAnsi="Calibri Light" w:cs="Calibri Light"/>
                <w:noProof/>
                <w:webHidden/>
              </w:rPr>
            </w:r>
            <w:r w:rsidRPr="00AF269D">
              <w:rPr>
                <w:rFonts w:ascii="Calibri Light" w:hAnsi="Calibri Light" w:cs="Calibri Light"/>
                <w:noProof/>
                <w:webHidden/>
              </w:rPr>
              <w:fldChar w:fldCharType="separate"/>
            </w:r>
            <w:r w:rsidR="007B2E5C">
              <w:rPr>
                <w:rFonts w:ascii="Calibri Light" w:hAnsi="Calibri Light" w:cs="Calibri Light"/>
                <w:noProof/>
                <w:webHidden/>
              </w:rPr>
              <w:t>4</w:t>
            </w:r>
            <w:r w:rsidRPr="00AF269D">
              <w:rPr>
                <w:rFonts w:ascii="Calibri Light" w:hAnsi="Calibri Light" w:cs="Calibri Light"/>
                <w:noProof/>
                <w:webHidden/>
              </w:rPr>
              <w:fldChar w:fldCharType="end"/>
            </w:r>
          </w:hyperlink>
        </w:p>
        <w:p w14:paraId="2D86F20E" w14:textId="65CEBE54" w:rsidR="00AA4353" w:rsidRPr="00FF5466" w:rsidRDefault="00AA4353" w:rsidP="00AF269D">
          <w:pPr>
            <w:pStyle w:val="TOC3"/>
            <w:tabs>
              <w:tab w:val="left" w:pos="880"/>
              <w:tab w:val="right" w:leader="dot" w:pos="9350"/>
            </w:tabs>
            <w:spacing w:after="0"/>
            <w:ind w:left="360"/>
            <w:rPr>
              <w:rFonts w:asciiTheme="minorHAnsi" w:hAnsiTheme="minorHAnsi" w:cstheme="minorHAnsi"/>
              <w:noProof/>
            </w:rPr>
          </w:pPr>
          <w:hyperlink w:anchor="_Toc107400370" w:history="1">
            <w:r w:rsidRPr="00AF269D">
              <w:rPr>
                <w:rStyle w:val="Hyperlink"/>
                <w:rFonts w:ascii="Calibri Light" w:eastAsia="Times New Roman" w:hAnsi="Calibri Light" w:cs="Calibri Light"/>
                <w:noProof/>
              </w:rPr>
              <w:t>V.</w:t>
            </w:r>
            <w:r w:rsidRPr="00AF269D">
              <w:rPr>
                <w:rFonts w:ascii="Calibri Light" w:hAnsi="Calibri Light" w:cs="Calibri Light"/>
                <w:noProof/>
              </w:rPr>
              <w:tab/>
            </w:r>
            <w:r w:rsidRPr="00AF269D">
              <w:rPr>
                <w:rStyle w:val="Hyperlink"/>
                <w:rFonts w:ascii="Calibri Light" w:eastAsia="Times New Roman" w:hAnsi="Calibri Light" w:cs="Calibri Light"/>
                <w:noProof/>
              </w:rPr>
              <w:t>Other Requirements</w:t>
            </w:r>
            <w:r w:rsidRPr="00AF269D">
              <w:rPr>
                <w:rFonts w:ascii="Calibri Light" w:hAnsi="Calibri Light" w:cs="Calibri Light"/>
                <w:noProof/>
                <w:webHidden/>
              </w:rPr>
              <w:tab/>
            </w:r>
            <w:r w:rsidRPr="00AF269D">
              <w:rPr>
                <w:rFonts w:ascii="Calibri Light" w:hAnsi="Calibri Light" w:cs="Calibri Light"/>
                <w:noProof/>
                <w:webHidden/>
              </w:rPr>
              <w:fldChar w:fldCharType="begin"/>
            </w:r>
            <w:r w:rsidRPr="00AF269D">
              <w:rPr>
                <w:rFonts w:ascii="Calibri Light" w:hAnsi="Calibri Light" w:cs="Calibri Light"/>
                <w:noProof/>
                <w:webHidden/>
              </w:rPr>
              <w:instrText xml:space="preserve"> PAGEREF _Toc107400370 \h </w:instrText>
            </w:r>
            <w:r w:rsidRPr="00AF269D">
              <w:rPr>
                <w:rFonts w:ascii="Calibri Light" w:hAnsi="Calibri Light" w:cs="Calibri Light"/>
                <w:noProof/>
                <w:webHidden/>
              </w:rPr>
            </w:r>
            <w:r w:rsidRPr="00AF269D">
              <w:rPr>
                <w:rFonts w:ascii="Calibri Light" w:hAnsi="Calibri Light" w:cs="Calibri Light"/>
                <w:noProof/>
                <w:webHidden/>
              </w:rPr>
              <w:fldChar w:fldCharType="separate"/>
            </w:r>
            <w:r w:rsidR="007B2E5C">
              <w:rPr>
                <w:rFonts w:ascii="Calibri Light" w:hAnsi="Calibri Light" w:cs="Calibri Light"/>
                <w:noProof/>
                <w:webHidden/>
              </w:rPr>
              <w:t>5</w:t>
            </w:r>
            <w:r w:rsidRPr="00AF269D">
              <w:rPr>
                <w:rFonts w:ascii="Calibri Light" w:hAnsi="Calibri Light" w:cs="Calibri Light"/>
                <w:noProof/>
                <w:webHidden/>
              </w:rPr>
              <w:fldChar w:fldCharType="end"/>
            </w:r>
          </w:hyperlink>
        </w:p>
        <w:p w14:paraId="536CE0F7" w14:textId="05CBDE37" w:rsidR="00AA4353" w:rsidRDefault="00AA4353">
          <w:r>
            <w:rPr>
              <w:b/>
              <w:bCs/>
              <w:noProof/>
            </w:rPr>
            <w:fldChar w:fldCharType="end"/>
          </w:r>
        </w:p>
      </w:sdtContent>
    </w:sdt>
    <w:p w14:paraId="7D2841EF" w14:textId="0DA87FD7" w:rsidR="00C22160" w:rsidRDefault="003E7CCC" w:rsidP="00AF269D">
      <w:pPr>
        <w:keepNext/>
        <w:keepLines/>
        <w:widowControl/>
        <w:autoSpaceDE/>
        <w:autoSpaceDN/>
        <w:outlineLvl w:val="1"/>
      </w:pPr>
      <w:bookmarkStart w:id="0" w:name="_Toc107400363"/>
      <w:r w:rsidRPr="003E7CCC">
        <w:rPr>
          <w:rFonts w:ascii="Calibri Light" w:eastAsia="Times New Roman" w:hAnsi="Calibri Light" w:cs="Times New Roman"/>
          <w:color w:val="2F5496"/>
          <w:sz w:val="26"/>
          <w:szCs w:val="26"/>
        </w:rPr>
        <w:t>Purpose</w:t>
      </w:r>
      <w:bookmarkEnd w:id="0"/>
    </w:p>
    <w:p w14:paraId="3584BE6F" w14:textId="62A46626" w:rsidR="00C22160" w:rsidRPr="00B91312" w:rsidRDefault="003A5CA3" w:rsidP="00A431ED">
      <w:pPr>
        <w:pStyle w:val="comp"/>
        <w:shd w:val="clear" w:color="auto" w:fill="FFFFFF"/>
        <w:spacing w:before="0" w:beforeAutospacing="0" w:after="240" w:afterAutospacing="0"/>
        <w:textAlignment w:val="baseline"/>
        <w:rPr>
          <w:rFonts w:asciiTheme="minorHAnsi" w:hAnsiTheme="minorHAnsi"/>
          <w:sz w:val="22"/>
          <w:szCs w:val="22"/>
        </w:rPr>
      </w:pPr>
      <w:r w:rsidRPr="00B91312">
        <w:rPr>
          <w:rFonts w:asciiTheme="minorHAnsi" w:hAnsiTheme="minorHAnsi"/>
          <w:sz w:val="22"/>
          <w:szCs w:val="22"/>
        </w:rPr>
        <w:t>Bluebonnet Trails Community Services</w:t>
      </w:r>
      <w:r w:rsidR="008F6146" w:rsidRPr="00B91312">
        <w:rPr>
          <w:rFonts w:asciiTheme="minorHAnsi" w:hAnsiTheme="minorHAnsi"/>
          <w:sz w:val="22"/>
          <w:szCs w:val="22"/>
        </w:rPr>
        <w:t xml:space="preserve"> (</w:t>
      </w:r>
      <w:r w:rsidRPr="00B91312">
        <w:rPr>
          <w:rFonts w:asciiTheme="minorHAnsi" w:hAnsiTheme="minorHAnsi"/>
          <w:sz w:val="22"/>
          <w:szCs w:val="22"/>
        </w:rPr>
        <w:t>BTC</w:t>
      </w:r>
      <w:r w:rsidR="00246AD5">
        <w:rPr>
          <w:rFonts w:asciiTheme="minorHAnsi" w:hAnsiTheme="minorHAnsi"/>
          <w:sz w:val="22"/>
          <w:szCs w:val="22"/>
        </w:rPr>
        <w:t>S</w:t>
      </w:r>
      <w:r w:rsidR="008F6146" w:rsidRPr="00B91312">
        <w:rPr>
          <w:rFonts w:asciiTheme="minorHAnsi" w:hAnsiTheme="minorHAnsi"/>
          <w:sz w:val="22"/>
          <w:szCs w:val="22"/>
        </w:rPr>
        <w:t>) is committed to providing charity care to persons who have healthcare needs and are uninsured, underinsured, or otherwise unable to pay</w:t>
      </w:r>
      <w:r w:rsidR="00246AD5">
        <w:rPr>
          <w:rFonts w:asciiTheme="minorHAnsi" w:hAnsiTheme="minorHAnsi"/>
          <w:sz w:val="22"/>
          <w:szCs w:val="22"/>
        </w:rPr>
        <w:t xml:space="preserve"> </w:t>
      </w:r>
      <w:r w:rsidR="008F6146" w:rsidRPr="00B91312">
        <w:rPr>
          <w:rFonts w:asciiTheme="minorHAnsi" w:hAnsiTheme="minorHAnsi"/>
          <w:sz w:val="22"/>
          <w:szCs w:val="22"/>
        </w:rPr>
        <w:t xml:space="preserve">for medically necessary care based on their individual financial situation. </w:t>
      </w:r>
      <w:r w:rsidR="00FC6E8B" w:rsidRPr="00B91312">
        <w:rPr>
          <w:rFonts w:asciiTheme="minorHAnsi" w:hAnsiTheme="minorHAnsi"/>
          <w:sz w:val="22"/>
          <w:szCs w:val="22"/>
        </w:rPr>
        <w:t>BTCS</w:t>
      </w:r>
      <w:r w:rsidR="008F6146" w:rsidRPr="00B91312">
        <w:rPr>
          <w:rFonts w:asciiTheme="minorHAnsi" w:hAnsiTheme="minorHAnsi"/>
          <w:sz w:val="22"/>
          <w:szCs w:val="22"/>
        </w:rPr>
        <w:t xml:space="preserve"> strives to ensure that the financial capacity of </w:t>
      </w:r>
      <w:r w:rsidR="00F415BE" w:rsidRPr="00B91312">
        <w:rPr>
          <w:rFonts w:asciiTheme="minorHAnsi" w:hAnsiTheme="minorHAnsi"/>
          <w:sz w:val="22"/>
          <w:szCs w:val="22"/>
        </w:rPr>
        <w:t>individuals</w:t>
      </w:r>
      <w:r w:rsidR="008F6146" w:rsidRPr="00B91312">
        <w:rPr>
          <w:rFonts w:asciiTheme="minorHAnsi" w:hAnsiTheme="minorHAnsi"/>
          <w:sz w:val="22"/>
          <w:szCs w:val="22"/>
        </w:rPr>
        <w:t xml:space="preserve"> who need quality healthcare services does not prevent them from seeking or receiving care.</w:t>
      </w:r>
      <w:r w:rsidR="00FF5466">
        <w:rPr>
          <w:rFonts w:asciiTheme="minorHAnsi" w:hAnsiTheme="minorHAnsi"/>
          <w:sz w:val="22"/>
          <w:szCs w:val="22"/>
        </w:rPr>
        <w:t xml:space="preserve"> </w:t>
      </w:r>
    </w:p>
    <w:p w14:paraId="19AB19B9" w14:textId="694270B8" w:rsidR="00C22160" w:rsidRPr="00AB7DC0" w:rsidRDefault="008F6146" w:rsidP="00AB7DC0">
      <w:pPr>
        <w:pStyle w:val="comp"/>
        <w:shd w:val="clear" w:color="auto" w:fill="FFFFFF"/>
        <w:spacing w:before="0" w:beforeAutospacing="0" w:after="0" w:afterAutospacing="0"/>
        <w:textAlignment w:val="baseline"/>
        <w:rPr>
          <w:rFonts w:asciiTheme="minorHAnsi" w:hAnsiTheme="minorHAnsi"/>
          <w:sz w:val="22"/>
          <w:szCs w:val="22"/>
        </w:rPr>
      </w:pPr>
      <w:r w:rsidRPr="00AB7DC0">
        <w:rPr>
          <w:rFonts w:asciiTheme="minorHAnsi" w:hAnsiTheme="minorHAnsi"/>
          <w:sz w:val="22"/>
          <w:szCs w:val="22"/>
        </w:rPr>
        <w:t>Accordingly, this p</w:t>
      </w:r>
      <w:r w:rsidR="00FC6E8B" w:rsidRPr="00AB7DC0">
        <w:rPr>
          <w:rFonts w:asciiTheme="minorHAnsi" w:hAnsiTheme="minorHAnsi"/>
          <w:sz w:val="22"/>
          <w:szCs w:val="22"/>
        </w:rPr>
        <w:t>rocedure</w:t>
      </w:r>
      <w:r w:rsidRPr="00AB7DC0">
        <w:rPr>
          <w:rFonts w:asciiTheme="minorHAnsi" w:hAnsiTheme="minorHAnsi"/>
          <w:sz w:val="22"/>
          <w:szCs w:val="22"/>
        </w:rPr>
        <w:t>:</w:t>
      </w:r>
    </w:p>
    <w:p w14:paraId="54067D43" w14:textId="77777777" w:rsidR="00C22160" w:rsidRPr="00AB7DC0" w:rsidRDefault="008F6146" w:rsidP="00AB7DC0">
      <w:pPr>
        <w:pStyle w:val="comp"/>
        <w:numPr>
          <w:ilvl w:val="0"/>
          <w:numId w:val="3"/>
        </w:numPr>
        <w:shd w:val="clear" w:color="auto" w:fill="FFFFFF"/>
        <w:spacing w:before="0" w:beforeAutospacing="0" w:after="0" w:afterAutospacing="0"/>
        <w:textAlignment w:val="baseline"/>
        <w:rPr>
          <w:rFonts w:asciiTheme="minorHAnsi" w:hAnsiTheme="minorHAnsi"/>
          <w:sz w:val="22"/>
          <w:szCs w:val="22"/>
        </w:rPr>
      </w:pPr>
      <w:r w:rsidRPr="00AB7DC0">
        <w:rPr>
          <w:rFonts w:asciiTheme="minorHAnsi" w:hAnsiTheme="minorHAnsi"/>
          <w:sz w:val="22"/>
          <w:szCs w:val="22"/>
        </w:rPr>
        <w:t>Includes eligibility criteria for financial assistance – free and discounted (partial charity care)</w:t>
      </w:r>
    </w:p>
    <w:p w14:paraId="18004FE1" w14:textId="5FB69A6C" w:rsidR="00C22160" w:rsidRPr="00AB7DC0" w:rsidRDefault="008F6146" w:rsidP="00AB7DC0">
      <w:pPr>
        <w:pStyle w:val="comp"/>
        <w:numPr>
          <w:ilvl w:val="0"/>
          <w:numId w:val="3"/>
        </w:numPr>
        <w:shd w:val="clear" w:color="auto" w:fill="FFFFFF"/>
        <w:spacing w:before="0" w:beforeAutospacing="0" w:after="0" w:afterAutospacing="0"/>
        <w:textAlignment w:val="baseline"/>
        <w:rPr>
          <w:rFonts w:asciiTheme="minorHAnsi" w:hAnsiTheme="minorHAnsi"/>
          <w:sz w:val="22"/>
          <w:szCs w:val="22"/>
        </w:rPr>
      </w:pPr>
      <w:r w:rsidRPr="00AB7DC0">
        <w:rPr>
          <w:rFonts w:asciiTheme="minorHAnsi" w:hAnsiTheme="minorHAnsi"/>
          <w:sz w:val="22"/>
          <w:szCs w:val="22"/>
        </w:rPr>
        <w:t xml:space="preserve">Describes the basis for calculating amounts charged to </w:t>
      </w:r>
      <w:r w:rsidR="00F415BE" w:rsidRPr="00AB7DC0">
        <w:rPr>
          <w:rFonts w:asciiTheme="minorHAnsi" w:hAnsiTheme="minorHAnsi"/>
          <w:sz w:val="22"/>
          <w:szCs w:val="22"/>
        </w:rPr>
        <w:t>individuals</w:t>
      </w:r>
      <w:r w:rsidRPr="00AB7DC0">
        <w:rPr>
          <w:rFonts w:asciiTheme="minorHAnsi" w:hAnsiTheme="minorHAnsi"/>
          <w:sz w:val="22"/>
          <w:szCs w:val="22"/>
        </w:rPr>
        <w:t xml:space="preserve"> served</w:t>
      </w:r>
      <w:r w:rsidR="00F415BE" w:rsidRPr="00AB7DC0">
        <w:rPr>
          <w:rFonts w:asciiTheme="minorHAnsi" w:hAnsiTheme="minorHAnsi"/>
          <w:sz w:val="22"/>
          <w:szCs w:val="22"/>
        </w:rPr>
        <w:t xml:space="preserve"> who are</w:t>
      </w:r>
      <w:r w:rsidRPr="00AB7DC0">
        <w:rPr>
          <w:rFonts w:asciiTheme="minorHAnsi" w:hAnsiTheme="minorHAnsi"/>
          <w:sz w:val="22"/>
          <w:szCs w:val="22"/>
        </w:rPr>
        <w:t xml:space="preserve"> eligible for financial assistance under this </w:t>
      </w:r>
      <w:r w:rsidR="00246AD5">
        <w:rPr>
          <w:rFonts w:asciiTheme="minorHAnsi" w:hAnsiTheme="minorHAnsi"/>
          <w:sz w:val="22"/>
          <w:szCs w:val="22"/>
        </w:rPr>
        <w:t>procedure</w:t>
      </w:r>
    </w:p>
    <w:p w14:paraId="5F052ABA" w14:textId="6170D3A6" w:rsidR="00C22160" w:rsidRPr="00AB7DC0" w:rsidRDefault="008F6146" w:rsidP="00AB7DC0">
      <w:pPr>
        <w:pStyle w:val="comp"/>
        <w:numPr>
          <w:ilvl w:val="0"/>
          <w:numId w:val="3"/>
        </w:numPr>
        <w:shd w:val="clear" w:color="auto" w:fill="FFFFFF"/>
        <w:spacing w:before="0" w:beforeAutospacing="0" w:after="0" w:afterAutospacing="0"/>
        <w:textAlignment w:val="baseline"/>
        <w:rPr>
          <w:rFonts w:asciiTheme="minorHAnsi" w:hAnsiTheme="minorHAnsi"/>
          <w:sz w:val="22"/>
          <w:szCs w:val="22"/>
        </w:rPr>
      </w:pPr>
      <w:r w:rsidRPr="00AB7DC0">
        <w:rPr>
          <w:rFonts w:asciiTheme="minorHAnsi" w:hAnsiTheme="minorHAnsi"/>
          <w:sz w:val="22"/>
          <w:szCs w:val="22"/>
        </w:rPr>
        <w:t xml:space="preserve">Describes the method by which </w:t>
      </w:r>
      <w:r w:rsidR="00F415BE" w:rsidRPr="00AB7DC0">
        <w:rPr>
          <w:rFonts w:asciiTheme="minorHAnsi" w:hAnsiTheme="minorHAnsi"/>
          <w:sz w:val="22"/>
          <w:szCs w:val="22"/>
        </w:rPr>
        <w:t>individuals</w:t>
      </w:r>
      <w:r w:rsidRPr="00AB7DC0">
        <w:rPr>
          <w:rFonts w:asciiTheme="minorHAnsi" w:hAnsiTheme="minorHAnsi"/>
          <w:sz w:val="22"/>
          <w:szCs w:val="22"/>
        </w:rPr>
        <w:t xml:space="preserve"> served may apply for financial assistance</w:t>
      </w:r>
    </w:p>
    <w:p w14:paraId="6445000E" w14:textId="79F07409" w:rsidR="00C22160" w:rsidRPr="00AB7DC0" w:rsidRDefault="008F6146" w:rsidP="00AB7DC0">
      <w:pPr>
        <w:pStyle w:val="comp"/>
        <w:numPr>
          <w:ilvl w:val="0"/>
          <w:numId w:val="3"/>
        </w:numPr>
        <w:shd w:val="clear" w:color="auto" w:fill="FFFFFF"/>
        <w:spacing w:before="0" w:beforeAutospacing="0" w:after="0" w:afterAutospacing="0"/>
        <w:textAlignment w:val="baseline"/>
        <w:rPr>
          <w:rFonts w:asciiTheme="minorHAnsi" w:hAnsiTheme="minorHAnsi"/>
          <w:sz w:val="22"/>
          <w:szCs w:val="22"/>
        </w:rPr>
      </w:pPr>
      <w:r w:rsidRPr="00AB7DC0">
        <w:rPr>
          <w:rFonts w:asciiTheme="minorHAnsi" w:hAnsiTheme="minorHAnsi"/>
          <w:sz w:val="22"/>
          <w:szCs w:val="22"/>
        </w:rPr>
        <w:t xml:space="preserve">Describes how </w:t>
      </w:r>
      <w:r w:rsidR="00FC6E8B" w:rsidRPr="00AB7DC0">
        <w:rPr>
          <w:rFonts w:asciiTheme="minorHAnsi" w:hAnsiTheme="minorHAnsi"/>
          <w:sz w:val="22"/>
          <w:szCs w:val="22"/>
        </w:rPr>
        <w:t>BTCS</w:t>
      </w:r>
      <w:r w:rsidRPr="00AB7DC0">
        <w:rPr>
          <w:rFonts w:asciiTheme="minorHAnsi" w:hAnsiTheme="minorHAnsi"/>
          <w:sz w:val="22"/>
          <w:szCs w:val="22"/>
        </w:rPr>
        <w:t xml:space="preserve"> will widely publicize the p</w:t>
      </w:r>
      <w:r w:rsidR="00D6164F" w:rsidRPr="00AB7DC0">
        <w:rPr>
          <w:rFonts w:asciiTheme="minorHAnsi" w:hAnsiTheme="minorHAnsi"/>
          <w:sz w:val="22"/>
          <w:szCs w:val="22"/>
        </w:rPr>
        <w:t>rocedure</w:t>
      </w:r>
      <w:r w:rsidRPr="00AB7DC0">
        <w:rPr>
          <w:rFonts w:asciiTheme="minorHAnsi" w:hAnsiTheme="minorHAnsi"/>
          <w:sz w:val="22"/>
          <w:szCs w:val="22"/>
        </w:rPr>
        <w:t xml:space="preserve"> to the </w:t>
      </w:r>
      <w:r w:rsidR="005752AA">
        <w:rPr>
          <w:rFonts w:asciiTheme="minorHAnsi" w:hAnsiTheme="minorHAnsi"/>
          <w:sz w:val="22"/>
          <w:szCs w:val="22"/>
        </w:rPr>
        <w:t>c</w:t>
      </w:r>
      <w:r w:rsidRPr="00AB7DC0">
        <w:rPr>
          <w:rFonts w:asciiTheme="minorHAnsi" w:hAnsiTheme="minorHAnsi"/>
          <w:sz w:val="22"/>
          <w:szCs w:val="22"/>
        </w:rPr>
        <w:t>ommunity</w:t>
      </w:r>
    </w:p>
    <w:p w14:paraId="461FF4CC" w14:textId="4C4FC92E" w:rsidR="00C22160" w:rsidRPr="00AB7DC0" w:rsidRDefault="008F6146" w:rsidP="00A431ED">
      <w:pPr>
        <w:pStyle w:val="comp"/>
        <w:numPr>
          <w:ilvl w:val="0"/>
          <w:numId w:val="3"/>
        </w:numPr>
        <w:shd w:val="clear" w:color="auto" w:fill="FFFFFF"/>
        <w:spacing w:before="0" w:beforeAutospacing="0" w:after="240" w:afterAutospacing="0"/>
        <w:textAlignment w:val="baseline"/>
        <w:rPr>
          <w:rFonts w:asciiTheme="minorHAnsi" w:hAnsiTheme="minorHAnsi"/>
          <w:sz w:val="22"/>
          <w:szCs w:val="22"/>
        </w:rPr>
      </w:pPr>
      <w:r w:rsidRPr="00AB7DC0">
        <w:rPr>
          <w:rFonts w:asciiTheme="minorHAnsi" w:hAnsiTheme="minorHAnsi"/>
          <w:sz w:val="22"/>
          <w:szCs w:val="22"/>
        </w:rPr>
        <w:t xml:space="preserve">Limits the amounts that </w:t>
      </w:r>
      <w:r w:rsidR="00FC6E8B" w:rsidRPr="00AB7DC0">
        <w:rPr>
          <w:rFonts w:asciiTheme="minorHAnsi" w:hAnsiTheme="minorHAnsi"/>
          <w:sz w:val="22"/>
          <w:szCs w:val="22"/>
        </w:rPr>
        <w:t>BTCS</w:t>
      </w:r>
      <w:r w:rsidRPr="00AB7DC0">
        <w:rPr>
          <w:rFonts w:asciiTheme="minorHAnsi" w:hAnsiTheme="minorHAnsi"/>
          <w:sz w:val="22"/>
          <w:szCs w:val="22"/>
        </w:rPr>
        <w:t xml:space="preserve"> will charge for eligible services provided to </w:t>
      </w:r>
      <w:r w:rsidR="00F415BE" w:rsidRPr="00AB7DC0">
        <w:rPr>
          <w:rFonts w:asciiTheme="minorHAnsi" w:hAnsiTheme="minorHAnsi"/>
          <w:sz w:val="22"/>
          <w:szCs w:val="22"/>
        </w:rPr>
        <w:t>individuals</w:t>
      </w:r>
      <w:r w:rsidRPr="00AB7DC0">
        <w:rPr>
          <w:rFonts w:asciiTheme="minorHAnsi" w:hAnsiTheme="minorHAnsi"/>
          <w:sz w:val="22"/>
          <w:szCs w:val="22"/>
        </w:rPr>
        <w:t xml:space="preserve"> qualifying for financial assistance to the amount generally billed</w:t>
      </w:r>
      <w:r w:rsidR="005752AA">
        <w:rPr>
          <w:rFonts w:asciiTheme="minorHAnsi" w:hAnsiTheme="minorHAnsi"/>
          <w:sz w:val="22"/>
          <w:szCs w:val="22"/>
        </w:rPr>
        <w:t xml:space="preserve"> by</w:t>
      </w:r>
      <w:r w:rsidRPr="00AB7DC0">
        <w:rPr>
          <w:rFonts w:asciiTheme="minorHAnsi" w:hAnsiTheme="minorHAnsi"/>
          <w:sz w:val="22"/>
          <w:szCs w:val="22"/>
        </w:rPr>
        <w:t xml:space="preserve"> </w:t>
      </w:r>
      <w:r w:rsidR="00FC6E8B" w:rsidRPr="00AB7DC0">
        <w:rPr>
          <w:rFonts w:asciiTheme="minorHAnsi" w:hAnsiTheme="minorHAnsi"/>
          <w:sz w:val="22"/>
          <w:szCs w:val="22"/>
        </w:rPr>
        <w:t>BTCS</w:t>
      </w:r>
      <w:r w:rsidRPr="00AB7DC0">
        <w:rPr>
          <w:rFonts w:asciiTheme="minorHAnsi" w:hAnsiTheme="minorHAnsi"/>
          <w:sz w:val="22"/>
          <w:szCs w:val="22"/>
        </w:rPr>
        <w:t xml:space="preserve"> for private and public insurance (Medicaid, Medicare, etc.)</w:t>
      </w:r>
    </w:p>
    <w:p w14:paraId="1FF6993A" w14:textId="6FD7A717" w:rsidR="00C22160" w:rsidRPr="00AB7DC0" w:rsidRDefault="002F3B28" w:rsidP="00A431ED">
      <w:pPr>
        <w:pStyle w:val="comp"/>
        <w:shd w:val="clear" w:color="auto" w:fill="FFFFFF"/>
        <w:spacing w:before="0" w:beforeAutospacing="0" w:after="240" w:afterAutospacing="0"/>
        <w:textAlignment w:val="baseline"/>
        <w:rPr>
          <w:rFonts w:asciiTheme="minorHAnsi" w:hAnsiTheme="minorHAnsi"/>
          <w:sz w:val="22"/>
          <w:szCs w:val="22"/>
        </w:rPr>
      </w:pPr>
      <w:r>
        <w:rPr>
          <w:rFonts w:asciiTheme="minorHAnsi" w:hAnsiTheme="minorHAnsi"/>
          <w:sz w:val="22"/>
          <w:szCs w:val="22"/>
        </w:rPr>
        <w:t>Participating i</w:t>
      </w:r>
      <w:r w:rsidR="00F415BE" w:rsidRPr="00AB7DC0">
        <w:rPr>
          <w:rFonts w:asciiTheme="minorHAnsi" w:hAnsiTheme="minorHAnsi"/>
          <w:sz w:val="22"/>
          <w:szCs w:val="22"/>
        </w:rPr>
        <w:t xml:space="preserve">ndividuals </w:t>
      </w:r>
      <w:r>
        <w:rPr>
          <w:rFonts w:asciiTheme="minorHAnsi" w:hAnsiTheme="minorHAnsi"/>
          <w:sz w:val="22"/>
          <w:szCs w:val="22"/>
        </w:rPr>
        <w:t xml:space="preserve">are required to </w:t>
      </w:r>
      <w:r w:rsidR="008F6146" w:rsidRPr="00AB7DC0">
        <w:rPr>
          <w:rFonts w:asciiTheme="minorHAnsi" w:hAnsiTheme="minorHAnsi"/>
          <w:sz w:val="22"/>
          <w:szCs w:val="22"/>
        </w:rPr>
        <w:t xml:space="preserve">cooperate with </w:t>
      </w:r>
      <w:r w:rsidR="00246AD5">
        <w:rPr>
          <w:rFonts w:asciiTheme="minorHAnsi" w:hAnsiTheme="minorHAnsi"/>
          <w:sz w:val="22"/>
          <w:szCs w:val="22"/>
        </w:rPr>
        <w:t>BTCS</w:t>
      </w:r>
      <w:r w:rsidR="008F6146" w:rsidRPr="00AB7DC0">
        <w:rPr>
          <w:rFonts w:asciiTheme="minorHAnsi" w:hAnsiTheme="minorHAnsi"/>
          <w:sz w:val="22"/>
          <w:szCs w:val="22"/>
        </w:rPr>
        <w:t xml:space="preserve"> procedures for obtaining charity care or other forms of payment or financial assistance, and to contribute to the cost of their care based on their individual ability to pay subject to the rules, regulations, and contractual requirements of </w:t>
      </w:r>
      <w:r w:rsidR="00D6164F" w:rsidRPr="00AB7DC0">
        <w:rPr>
          <w:rFonts w:asciiTheme="minorHAnsi" w:hAnsiTheme="minorHAnsi"/>
          <w:sz w:val="22"/>
          <w:szCs w:val="22"/>
        </w:rPr>
        <w:t>the</w:t>
      </w:r>
      <w:r w:rsidR="00F415BE" w:rsidRPr="00AB7DC0">
        <w:rPr>
          <w:rFonts w:asciiTheme="minorHAnsi" w:hAnsiTheme="minorHAnsi"/>
          <w:sz w:val="22"/>
          <w:szCs w:val="22"/>
        </w:rPr>
        <w:t xml:space="preserve"> </w:t>
      </w:r>
      <w:r w:rsidR="008F6146" w:rsidRPr="00AB7DC0">
        <w:rPr>
          <w:rFonts w:asciiTheme="minorHAnsi" w:hAnsiTheme="minorHAnsi"/>
          <w:sz w:val="22"/>
          <w:szCs w:val="22"/>
        </w:rPr>
        <w:t xml:space="preserve">various </w:t>
      </w:r>
      <w:r w:rsidR="00246AD5">
        <w:rPr>
          <w:rFonts w:asciiTheme="minorHAnsi" w:hAnsiTheme="minorHAnsi"/>
          <w:sz w:val="22"/>
          <w:szCs w:val="22"/>
        </w:rPr>
        <w:t xml:space="preserve">BTCS </w:t>
      </w:r>
      <w:r w:rsidR="008F6146" w:rsidRPr="00AB7DC0">
        <w:rPr>
          <w:rFonts w:asciiTheme="minorHAnsi" w:hAnsiTheme="minorHAnsi"/>
          <w:sz w:val="22"/>
          <w:szCs w:val="22"/>
        </w:rPr>
        <w:t>funding agencies.</w:t>
      </w:r>
    </w:p>
    <w:p w14:paraId="6CFC0569" w14:textId="230E3578" w:rsidR="00C22160" w:rsidRPr="00AB7DC0" w:rsidRDefault="008F6146" w:rsidP="00A431ED">
      <w:pPr>
        <w:pStyle w:val="comp"/>
        <w:shd w:val="clear" w:color="auto" w:fill="FFFFFF"/>
        <w:spacing w:before="0" w:beforeAutospacing="0" w:after="240" w:afterAutospacing="0"/>
        <w:textAlignment w:val="baseline"/>
        <w:rPr>
          <w:rFonts w:asciiTheme="minorHAnsi" w:hAnsiTheme="minorHAnsi"/>
          <w:sz w:val="22"/>
          <w:szCs w:val="22"/>
        </w:rPr>
      </w:pPr>
      <w:r w:rsidRPr="00AB7DC0">
        <w:rPr>
          <w:rFonts w:asciiTheme="minorHAnsi" w:hAnsiTheme="minorHAnsi"/>
          <w:sz w:val="22"/>
          <w:szCs w:val="22"/>
        </w:rPr>
        <w:t xml:space="preserve">To manage its resources responsibly and to allow </w:t>
      </w:r>
      <w:r w:rsidR="00F415BE" w:rsidRPr="00AB7DC0">
        <w:rPr>
          <w:rFonts w:asciiTheme="minorHAnsi" w:hAnsiTheme="minorHAnsi"/>
          <w:sz w:val="22"/>
          <w:szCs w:val="22"/>
        </w:rPr>
        <w:t>BTCS</w:t>
      </w:r>
      <w:r w:rsidRPr="00AB7DC0">
        <w:rPr>
          <w:rFonts w:asciiTheme="minorHAnsi" w:hAnsiTheme="minorHAnsi"/>
          <w:sz w:val="22"/>
          <w:szCs w:val="22"/>
        </w:rPr>
        <w:t xml:space="preserve"> to provide the appropriate level of assistance to the greatest number of people in need, </w:t>
      </w:r>
      <w:r w:rsidR="00A56602">
        <w:rPr>
          <w:rFonts w:asciiTheme="minorHAnsi" w:hAnsiTheme="minorHAnsi"/>
          <w:sz w:val="22"/>
          <w:szCs w:val="22"/>
        </w:rPr>
        <w:t xml:space="preserve">BTCS </w:t>
      </w:r>
      <w:r w:rsidRPr="00AB7DC0">
        <w:rPr>
          <w:rFonts w:asciiTheme="minorHAnsi" w:hAnsiTheme="minorHAnsi"/>
          <w:sz w:val="22"/>
          <w:szCs w:val="22"/>
        </w:rPr>
        <w:t xml:space="preserve">establishes the following guidelines for the provision of </w:t>
      </w:r>
      <w:r w:rsidR="00F415BE" w:rsidRPr="00AB7DC0">
        <w:rPr>
          <w:rFonts w:asciiTheme="minorHAnsi" w:hAnsiTheme="minorHAnsi"/>
          <w:sz w:val="22"/>
          <w:szCs w:val="22"/>
        </w:rPr>
        <w:t>charity care for individuals served.</w:t>
      </w:r>
    </w:p>
    <w:p w14:paraId="369100CC" w14:textId="6FF6296F" w:rsidR="00C22160" w:rsidRPr="006E73E1" w:rsidRDefault="006E73E1" w:rsidP="006E73E1">
      <w:pPr>
        <w:keepNext/>
        <w:keepLines/>
        <w:widowControl/>
        <w:autoSpaceDE/>
        <w:autoSpaceDN/>
        <w:outlineLvl w:val="1"/>
        <w:rPr>
          <w:rFonts w:ascii="Calibri Light" w:eastAsia="Times New Roman" w:hAnsi="Calibri Light" w:cs="Times New Roman"/>
          <w:color w:val="2F5496"/>
          <w:sz w:val="26"/>
          <w:szCs w:val="26"/>
        </w:rPr>
      </w:pPr>
      <w:bookmarkStart w:id="1" w:name="_Toc107400364"/>
      <w:r w:rsidRPr="006E73E1">
        <w:rPr>
          <w:rFonts w:ascii="Calibri Light" w:eastAsia="Times New Roman" w:hAnsi="Calibri Light" w:cs="Times New Roman"/>
          <w:color w:val="2F5496"/>
          <w:sz w:val="26"/>
          <w:szCs w:val="26"/>
        </w:rPr>
        <w:t>Definitions</w:t>
      </w:r>
      <w:bookmarkEnd w:id="1"/>
    </w:p>
    <w:p w14:paraId="50FA1814" w14:textId="7F2959C3" w:rsidR="00C22160" w:rsidRPr="009A0462" w:rsidRDefault="008F6146" w:rsidP="00EF5F6B">
      <w:pPr>
        <w:pStyle w:val="ListParagraph"/>
        <w:widowControl/>
        <w:numPr>
          <w:ilvl w:val="0"/>
          <w:numId w:val="4"/>
        </w:numPr>
        <w:autoSpaceDE/>
        <w:autoSpaceDN/>
        <w:ind w:left="360"/>
        <w:contextualSpacing/>
        <w:jc w:val="left"/>
        <w:rPr>
          <w:rFonts w:ascii="Calibri" w:eastAsia="Calibri" w:hAnsi="Calibri" w:cs="Arial"/>
          <w:szCs w:val="24"/>
          <w:u w:val="single"/>
        </w:rPr>
      </w:pPr>
      <w:r w:rsidRPr="009A0462">
        <w:rPr>
          <w:rFonts w:ascii="Calibri" w:eastAsia="Calibri" w:hAnsi="Calibri" w:cs="Arial"/>
          <w:szCs w:val="24"/>
          <w:u w:val="single"/>
        </w:rPr>
        <w:t>Charity Care</w:t>
      </w:r>
      <w:r w:rsidRPr="009A0462">
        <w:rPr>
          <w:rFonts w:ascii="Calibri" w:eastAsia="Calibri" w:hAnsi="Calibri" w:cs="Arial"/>
          <w:szCs w:val="24"/>
        </w:rPr>
        <w:t>: Healthcare services that have been or will be provided</w:t>
      </w:r>
      <w:r w:rsidR="002F3B28">
        <w:rPr>
          <w:rFonts w:ascii="Calibri" w:eastAsia="Calibri" w:hAnsi="Calibri" w:cs="Arial"/>
          <w:szCs w:val="24"/>
        </w:rPr>
        <w:t>,</w:t>
      </w:r>
      <w:r w:rsidRPr="009A0462">
        <w:rPr>
          <w:rFonts w:ascii="Calibri" w:eastAsia="Calibri" w:hAnsi="Calibri" w:cs="Arial"/>
          <w:szCs w:val="24"/>
        </w:rPr>
        <w:t xml:space="preserve"> but are </w:t>
      </w:r>
      <w:r w:rsidR="002F3B28">
        <w:rPr>
          <w:rFonts w:ascii="Calibri" w:eastAsia="Calibri" w:hAnsi="Calibri" w:cs="Arial"/>
          <w:szCs w:val="24"/>
        </w:rPr>
        <w:t>not</w:t>
      </w:r>
      <w:r w:rsidR="002F3B28" w:rsidRPr="009A0462">
        <w:rPr>
          <w:rFonts w:ascii="Calibri" w:eastAsia="Calibri" w:hAnsi="Calibri" w:cs="Arial"/>
          <w:szCs w:val="24"/>
        </w:rPr>
        <w:t xml:space="preserve"> </w:t>
      </w:r>
      <w:r w:rsidRPr="009A0462">
        <w:rPr>
          <w:rFonts w:ascii="Calibri" w:eastAsia="Calibri" w:hAnsi="Calibri" w:cs="Arial"/>
          <w:szCs w:val="24"/>
        </w:rPr>
        <w:t xml:space="preserve">expected to result in cash inflow. Charity care results from </w:t>
      </w:r>
      <w:r w:rsidR="00D6164F" w:rsidRPr="009A0462">
        <w:rPr>
          <w:rFonts w:ascii="Calibri" w:eastAsia="Calibri" w:hAnsi="Calibri" w:cs="Arial"/>
          <w:szCs w:val="24"/>
        </w:rPr>
        <w:t xml:space="preserve">the </w:t>
      </w:r>
      <w:r w:rsidR="00246AD5">
        <w:rPr>
          <w:rFonts w:ascii="Calibri" w:eastAsia="Calibri" w:hAnsi="Calibri" w:cs="Arial"/>
          <w:szCs w:val="24"/>
        </w:rPr>
        <w:t>BTCS</w:t>
      </w:r>
      <w:r w:rsidRPr="009A0462">
        <w:rPr>
          <w:rFonts w:ascii="Calibri" w:eastAsia="Calibri" w:hAnsi="Calibri" w:cs="Arial"/>
          <w:szCs w:val="24"/>
        </w:rPr>
        <w:t xml:space="preserve"> </w:t>
      </w:r>
      <w:r w:rsidR="00817EAF" w:rsidRPr="009A0462">
        <w:rPr>
          <w:rFonts w:ascii="Calibri" w:eastAsia="Calibri" w:hAnsi="Calibri" w:cs="Arial"/>
          <w:szCs w:val="24"/>
        </w:rPr>
        <w:t>procedure</w:t>
      </w:r>
      <w:r w:rsidRPr="009A0462">
        <w:rPr>
          <w:rFonts w:ascii="Calibri" w:eastAsia="Calibri" w:hAnsi="Calibri" w:cs="Arial"/>
          <w:szCs w:val="24"/>
        </w:rPr>
        <w:t xml:space="preserve"> to</w:t>
      </w:r>
      <w:r w:rsidR="00817EAF" w:rsidRPr="009A0462">
        <w:rPr>
          <w:rFonts w:ascii="Calibri" w:eastAsia="Calibri" w:hAnsi="Calibri" w:cs="Arial"/>
          <w:szCs w:val="24"/>
        </w:rPr>
        <w:t xml:space="preserve"> </w:t>
      </w:r>
      <w:r w:rsidRPr="009A0462">
        <w:rPr>
          <w:rFonts w:ascii="Calibri" w:eastAsia="Calibri" w:hAnsi="Calibri" w:cs="Arial"/>
          <w:szCs w:val="24"/>
        </w:rPr>
        <w:t xml:space="preserve">provide healthcare services free or at a discount to </w:t>
      </w:r>
      <w:r w:rsidR="00412CDC">
        <w:rPr>
          <w:rFonts w:ascii="Calibri" w:eastAsia="Calibri" w:hAnsi="Calibri" w:cs="Arial"/>
          <w:szCs w:val="24"/>
        </w:rPr>
        <w:t>individuals served</w:t>
      </w:r>
      <w:r w:rsidRPr="009A0462">
        <w:rPr>
          <w:rFonts w:ascii="Calibri" w:eastAsia="Calibri" w:hAnsi="Calibri" w:cs="Arial"/>
          <w:szCs w:val="24"/>
        </w:rPr>
        <w:t xml:space="preserve"> who meet the established criteria.</w:t>
      </w:r>
    </w:p>
    <w:p w14:paraId="257A87BE" w14:textId="70659B74" w:rsidR="00C22160" w:rsidRPr="009A0462" w:rsidRDefault="008F6146" w:rsidP="009A0462">
      <w:pPr>
        <w:pStyle w:val="ListParagraph"/>
        <w:widowControl/>
        <w:numPr>
          <w:ilvl w:val="0"/>
          <w:numId w:val="4"/>
        </w:numPr>
        <w:autoSpaceDE/>
        <w:autoSpaceDN/>
        <w:ind w:left="360"/>
        <w:contextualSpacing/>
        <w:jc w:val="left"/>
        <w:rPr>
          <w:rFonts w:ascii="Calibri" w:eastAsia="Calibri" w:hAnsi="Calibri" w:cs="Arial"/>
          <w:szCs w:val="24"/>
          <w:u w:val="single"/>
        </w:rPr>
      </w:pPr>
      <w:r w:rsidRPr="009A0462">
        <w:rPr>
          <w:rFonts w:ascii="Calibri" w:eastAsia="Calibri" w:hAnsi="Calibri" w:cs="Arial"/>
          <w:szCs w:val="24"/>
          <w:u w:val="single"/>
        </w:rPr>
        <w:t>Bad Debt</w:t>
      </w:r>
      <w:r w:rsidRPr="009A0462">
        <w:rPr>
          <w:rFonts w:ascii="Calibri" w:eastAsia="Calibri" w:hAnsi="Calibri" w:cs="Arial"/>
          <w:szCs w:val="24"/>
        </w:rPr>
        <w:t>: Healthcare services that have been or will be provided</w:t>
      </w:r>
      <w:r w:rsidR="002F3B28">
        <w:rPr>
          <w:rFonts w:ascii="Calibri" w:eastAsia="Calibri" w:hAnsi="Calibri" w:cs="Arial"/>
          <w:szCs w:val="24"/>
        </w:rPr>
        <w:t>, whereby</w:t>
      </w:r>
      <w:r w:rsidRPr="009A0462">
        <w:rPr>
          <w:rFonts w:ascii="Calibri" w:eastAsia="Calibri" w:hAnsi="Calibri" w:cs="Arial"/>
          <w:szCs w:val="24"/>
        </w:rPr>
        <w:t xml:space="preserve"> cash inflow is anticipated for all or a portion of the charge</w:t>
      </w:r>
      <w:r w:rsidR="00D5089E">
        <w:rPr>
          <w:rFonts w:ascii="Calibri" w:eastAsia="Calibri" w:hAnsi="Calibri" w:cs="Arial"/>
          <w:szCs w:val="24"/>
        </w:rPr>
        <w:t>, but not collected</w:t>
      </w:r>
      <w:r w:rsidRPr="009A0462">
        <w:rPr>
          <w:rFonts w:ascii="Calibri" w:eastAsia="Calibri" w:hAnsi="Calibri" w:cs="Arial"/>
          <w:szCs w:val="24"/>
        </w:rPr>
        <w:t xml:space="preserve">. Includes the monthly Sliding Scale Fee Schedule </w:t>
      </w:r>
      <w:r w:rsidRPr="009A0462">
        <w:rPr>
          <w:rFonts w:ascii="Calibri" w:eastAsia="Calibri" w:hAnsi="Calibri" w:cs="Arial"/>
          <w:szCs w:val="24"/>
        </w:rPr>
        <w:lastRenderedPageBreak/>
        <w:t xml:space="preserve">charges not collected for </w:t>
      </w:r>
      <w:r w:rsidR="00817EAF" w:rsidRPr="009A0462">
        <w:rPr>
          <w:rFonts w:ascii="Calibri" w:eastAsia="Calibri" w:hAnsi="Calibri" w:cs="Arial"/>
          <w:szCs w:val="24"/>
        </w:rPr>
        <w:t>individuals</w:t>
      </w:r>
      <w:r w:rsidRPr="009A0462">
        <w:rPr>
          <w:rFonts w:ascii="Calibri" w:eastAsia="Calibri" w:hAnsi="Calibri" w:cs="Arial"/>
          <w:szCs w:val="24"/>
        </w:rPr>
        <w:t xml:space="preserve"> above 150% of</w:t>
      </w:r>
      <w:r w:rsidR="00FD0A7A">
        <w:rPr>
          <w:rFonts w:ascii="Calibri" w:eastAsia="Calibri" w:hAnsi="Calibri" w:cs="Arial"/>
          <w:szCs w:val="24"/>
        </w:rPr>
        <w:t xml:space="preserve"> the Federal Poverty Level</w:t>
      </w:r>
      <w:r w:rsidRPr="009A0462">
        <w:rPr>
          <w:rFonts w:ascii="Calibri" w:eastAsia="Calibri" w:hAnsi="Calibri" w:cs="Arial"/>
          <w:szCs w:val="24"/>
        </w:rPr>
        <w:t xml:space="preserve"> </w:t>
      </w:r>
      <w:r w:rsidR="00C1767C">
        <w:rPr>
          <w:rFonts w:ascii="Calibri" w:eastAsia="Calibri" w:hAnsi="Calibri" w:cs="Arial"/>
          <w:szCs w:val="24"/>
        </w:rPr>
        <w:t>(</w:t>
      </w:r>
      <w:r w:rsidRPr="009A0462">
        <w:rPr>
          <w:rFonts w:ascii="Calibri" w:eastAsia="Calibri" w:hAnsi="Calibri" w:cs="Arial"/>
          <w:szCs w:val="24"/>
        </w:rPr>
        <w:t>FPL</w:t>
      </w:r>
      <w:r w:rsidR="00C1767C">
        <w:rPr>
          <w:rFonts w:ascii="Calibri" w:eastAsia="Calibri" w:hAnsi="Calibri" w:cs="Arial"/>
          <w:szCs w:val="24"/>
        </w:rPr>
        <w:t>)</w:t>
      </w:r>
      <w:r w:rsidRPr="009A0462">
        <w:rPr>
          <w:rFonts w:ascii="Calibri" w:eastAsia="Calibri" w:hAnsi="Calibri" w:cs="Arial"/>
          <w:szCs w:val="24"/>
        </w:rPr>
        <w:t>. Bad Debt is not eligible for reimbursement from federal charity care programs</w:t>
      </w:r>
      <w:r w:rsidR="009A0462" w:rsidRPr="009A0462">
        <w:rPr>
          <w:rFonts w:ascii="Calibri" w:eastAsia="Calibri" w:hAnsi="Calibri" w:cs="Arial"/>
          <w:szCs w:val="24"/>
        </w:rPr>
        <w:t>.</w:t>
      </w:r>
    </w:p>
    <w:p w14:paraId="13ECFFC9" w14:textId="689A48B1" w:rsidR="00C22160" w:rsidRPr="006C0802" w:rsidRDefault="008F6146" w:rsidP="00EF5F6B">
      <w:pPr>
        <w:pStyle w:val="ListParagraph"/>
        <w:widowControl/>
        <w:numPr>
          <w:ilvl w:val="0"/>
          <w:numId w:val="4"/>
        </w:numPr>
        <w:autoSpaceDE/>
        <w:autoSpaceDN/>
        <w:ind w:left="360"/>
        <w:contextualSpacing/>
        <w:jc w:val="left"/>
        <w:rPr>
          <w:rFonts w:ascii="Calibri" w:eastAsia="Calibri" w:hAnsi="Calibri" w:cs="Arial"/>
          <w:szCs w:val="24"/>
        </w:rPr>
      </w:pPr>
      <w:r w:rsidRPr="006C0802">
        <w:rPr>
          <w:rFonts w:ascii="Calibri" w:eastAsia="Calibri" w:hAnsi="Calibri" w:cs="Arial"/>
          <w:szCs w:val="24"/>
          <w:u w:val="single"/>
        </w:rPr>
        <w:t>Family</w:t>
      </w:r>
      <w:r w:rsidRPr="006C0802">
        <w:rPr>
          <w:rFonts w:ascii="Calibri" w:eastAsia="Calibri" w:hAnsi="Calibri" w:cs="Arial"/>
          <w:szCs w:val="24"/>
        </w:rPr>
        <w:t>: According to the Census Bureau, a group of two (2) or more people who reside together and who are related by birth, marriage, or adoption. In addition, according to Internal Revenue Service rules, if a</w:t>
      </w:r>
      <w:r w:rsidR="00817EAF" w:rsidRPr="006C0802">
        <w:rPr>
          <w:rFonts w:ascii="Calibri" w:eastAsia="Calibri" w:hAnsi="Calibri" w:cs="Arial"/>
          <w:szCs w:val="24"/>
        </w:rPr>
        <w:t>n individual</w:t>
      </w:r>
      <w:r w:rsidRPr="006C0802">
        <w:rPr>
          <w:rFonts w:ascii="Calibri" w:eastAsia="Calibri" w:hAnsi="Calibri" w:cs="Arial"/>
          <w:szCs w:val="24"/>
        </w:rPr>
        <w:t xml:space="preserve"> </w:t>
      </w:r>
      <w:r w:rsidR="00817EAF" w:rsidRPr="006C0802">
        <w:rPr>
          <w:rFonts w:ascii="Calibri" w:eastAsia="Calibri" w:hAnsi="Calibri" w:cs="Arial"/>
          <w:szCs w:val="24"/>
        </w:rPr>
        <w:t xml:space="preserve">served </w:t>
      </w:r>
      <w:r w:rsidRPr="006C0802">
        <w:rPr>
          <w:rFonts w:ascii="Calibri" w:eastAsia="Calibri" w:hAnsi="Calibri" w:cs="Arial"/>
          <w:szCs w:val="24"/>
        </w:rPr>
        <w:t xml:space="preserve">claims someone as a dependent on </w:t>
      </w:r>
      <w:r w:rsidR="00817EAF" w:rsidRPr="006C0802">
        <w:rPr>
          <w:rFonts w:ascii="Calibri" w:eastAsia="Calibri" w:hAnsi="Calibri" w:cs="Arial"/>
          <w:szCs w:val="24"/>
        </w:rPr>
        <w:t>their</w:t>
      </w:r>
      <w:r w:rsidRPr="006C0802">
        <w:rPr>
          <w:rFonts w:ascii="Calibri" w:eastAsia="Calibri" w:hAnsi="Calibri" w:cs="Arial"/>
          <w:szCs w:val="24"/>
        </w:rPr>
        <w:t xml:space="preserve"> income tax return, that person may be considered a dependent for purposes of the provision of financial assistance.</w:t>
      </w:r>
    </w:p>
    <w:p w14:paraId="061D799F" w14:textId="77777777" w:rsidR="00C22160" w:rsidRPr="006C0802" w:rsidRDefault="008F6146" w:rsidP="006C0802">
      <w:pPr>
        <w:pStyle w:val="ListParagraph"/>
        <w:widowControl/>
        <w:numPr>
          <w:ilvl w:val="0"/>
          <w:numId w:val="4"/>
        </w:numPr>
        <w:autoSpaceDE/>
        <w:autoSpaceDN/>
        <w:ind w:left="360"/>
        <w:contextualSpacing/>
        <w:jc w:val="left"/>
        <w:rPr>
          <w:rFonts w:ascii="Calibri" w:eastAsia="Calibri" w:hAnsi="Calibri" w:cs="Arial"/>
          <w:szCs w:val="24"/>
          <w:u w:val="single"/>
        </w:rPr>
      </w:pPr>
      <w:r w:rsidRPr="006C0802">
        <w:rPr>
          <w:rFonts w:ascii="Calibri" w:eastAsia="Calibri" w:hAnsi="Calibri" w:cs="Arial"/>
          <w:szCs w:val="24"/>
          <w:u w:val="single"/>
        </w:rPr>
        <w:t>Family Income</w:t>
      </w:r>
      <w:r w:rsidRPr="006C0802">
        <w:rPr>
          <w:rFonts w:ascii="Calibri" w:eastAsia="Calibri" w:hAnsi="Calibri" w:cs="Arial"/>
          <w:szCs w:val="24"/>
        </w:rPr>
        <w:t>: Family Income is determined using the Census Bureau definition, which uses the following income when computing federal poverty guidelines:</w:t>
      </w:r>
    </w:p>
    <w:p w14:paraId="33CF73B2" w14:textId="77777777" w:rsidR="00C22160" w:rsidRPr="00266C6E" w:rsidRDefault="008F6146" w:rsidP="00266C6E">
      <w:pPr>
        <w:pStyle w:val="ListParagraph"/>
        <w:widowControl/>
        <w:numPr>
          <w:ilvl w:val="0"/>
          <w:numId w:val="2"/>
        </w:numPr>
        <w:autoSpaceDE/>
        <w:autoSpaceDN/>
        <w:ind w:left="720"/>
        <w:contextualSpacing/>
        <w:jc w:val="left"/>
        <w:rPr>
          <w:rFonts w:ascii="Calibri" w:eastAsia="Calibri" w:hAnsi="Calibri" w:cs="Arial"/>
          <w:szCs w:val="24"/>
        </w:rPr>
      </w:pPr>
      <w:r w:rsidRPr="00266C6E">
        <w:rPr>
          <w:rFonts w:ascii="Calibri" w:eastAsia="Calibri" w:hAnsi="Calibri" w:cs="Arial"/>
          <w:szCs w:val="24"/>
        </w:rPr>
        <w:t>Includes earnings, unemployment compensation, workers’ compensation, Social Security, Supplemental Security Income, public assistance, veterans’ payments, survivor benefits, pension or retirement income, interest, dividends, rents, royalties, income from estates, trusts, educational assistance, alimony, child support, assistance from outside the household, and other miscellaneous sources.</w:t>
      </w:r>
    </w:p>
    <w:p w14:paraId="38965093" w14:textId="77777777" w:rsidR="00C22160" w:rsidRPr="00266C6E" w:rsidRDefault="008F6146" w:rsidP="00266C6E">
      <w:pPr>
        <w:pStyle w:val="ListParagraph"/>
        <w:widowControl/>
        <w:numPr>
          <w:ilvl w:val="0"/>
          <w:numId w:val="2"/>
        </w:numPr>
        <w:autoSpaceDE/>
        <w:autoSpaceDN/>
        <w:ind w:left="720"/>
        <w:contextualSpacing/>
        <w:jc w:val="left"/>
        <w:rPr>
          <w:rFonts w:ascii="Calibri" w:eastAsia="Calibri" w:hAnsi="Calibri" w:cs="Arial"/>
          <w:szCs w:val="24"/>
        </w:rPr>
      </w:pPr>
      <w:r w:rsidRPr="00266C6E">
        <w:rPr>
          <w:rFonts w:ascii="Calibri" w:eastAsia="Calibri" w:hAnsi="Calibri" w:cs="Arial"/>
          <w:szCs w:val="24"/>
        </w:rPr>
        <w:t>Noncash benefits (such as food stamps and housing subsidies) do not count.</w:t>
      </w:r>
    </w:p>
    <w:p w14:paraId="799DFA3B" w14:textId="77777777" w:rsidR="00C22160" w:rsidRPr="00266C6E" w:rsidRDefault="008F6146" w:rsidP="00266C6E">
      <w:pPr>
        <w:pStyle w:val="ListParagraph"/>
        <w:widowControl/>
        <w:numPr>
          <w:ilvl w:val="0"/>
          <w:numId w:val="2"/>
        </w:numPr>
        <w:autoSpaceDE/>
        <w:autoSpaceDN/>
        <w:ind w:left="720"/>
        <w:contextualSpacing/>
        <w:jc w:val="left"/>
        <w:rPr>
          <w:rFonts w:ascii="Calibri" w:eastAsia="Calibri" w:hAnsi="Calibri" w:cs="Arial"/>
          <w:szCs w:val="24"/>
        </w:rPr>
      </w:pPr>
      <w:r w:rsidRPr="00266C6E">
        <w:rPr>
          <w:rFonts w:ascii="Calibri" w:eastAsia="Calibri" w:hAnsi="Calibri" w:cs="Arial"/>
          <w:szCs w:val="24"/>
        </w:rPr>
        <w:t>Determined on a before-tax basis.</w:t>
      </w:r>
    </w:p>
    <w:p w14:paraId="3C9599AD" w14:textId="15DCA881" w:rsidR="00C22160" w:rsidRPr="00266C6E" w:rsidRDefault="008F6146" w:rsidP="00266C6E">
      <w:pPr>
        <w:pStyle w:val="ListParagraph"/>
        <w:widowControl/>
        <w:numPr>
          <w:ilvl w:val="0"/>
          <w:numId w:val="2"/>
        </w:numPr>
        <w:autoSpaceDE/>
        <w:autoSpaceDN/>
        <w:ind w:left="720"/>
        <w:contextualSpacing/>
        <w:jc w:val="left"/>
        <w:rPr>
          <w:rFonts w:ascii="Calibri" w:eastAsia="Calibri" w:hAnsi="Calibri" w:cs="Arial"/>
          <w:szCs w:val="24"/>
        </w:rPr>
      </w:pPr>
      <w:r w:rsidRPr="00266C6E">
        <w:rPr>
          <w:rFonts w:ascii="Calibri" w:eastAsia="Calibri" w:hAnsi="Calibri" w:cs="Arial"/>
          <w:szCs w:val="24"/>
        </w:rPr>
        <w:t>Excludes capital gains or losses</w:t>
      </w:r>
      <w:r w:rsidR="00063889">
        <w:rPr>
          <w:rFonts w:ascii="Calibri" w:eastAsia="Calibri" w:hAnsi="Calibri" w:cs="Arial"/>
          <w:szCs w:val="24"/>
        </w:rPr>
        <w:t>.</w:t>
      </w:r>
    </w:p>
    <w:p w14:paraId="64A0B9E2" w14:textId="09A6C810" w:rsidR="00C22160" w:rsidRPr="00266C6E" w:rsidRDefault="008F6146" w:rsidP="00EF5F6B">
      <w:pPr>
        <w:pStyle w:val="ListParagraph"/>
        <w:widowControl/>
        <w:numPr>
          <w:ilvl w:val="0"/>
          <w:numId w:val="2"/>
        </w:numPr>
        <w:autoSpaceDE/>
        <w:autoSpaceDN/>
        <w:ind w:left="720"/>
        <w:contextualSpacing/>
        <w:jc w:val="left"/>
        <w:rPr>
          <w:rFonts w:ascii="Calibri" w:eastAsia="Calibri" w:hAnsi="Calibri" w:cs="Arial"/>
          <w:szCs w:val="24"/>
        </w:rPr>
      </w:pPr>
      <w:r w:rsidRPr="00266C6E">
        <w:rPr>
          <w:rFonts w:ascii="Calibri" w:eastAsia="Calibri" w:hAnsi="Calibri" w:cs="Arial"/>
          <w:szCs w:val="24"/>
        </w:rPr>
        <w:t>If a person lives with a family, includes the income of all family members (non- relatives, such as housemates, do not count).</w:t>
      </w:r>
    </w:p>
    <w:p w14:paraId="3A042335" w14:textId="2B16AF2D" w:rsidR="0050785D" w:rsidRPr="006C0802" w:rsidRDefault="008F6146" w:rsidP="006C0802">
      <w:pPr>
        <w:pStyle w:val="ListParagraph"/>
        <w:widowControl/>
        <w:numPr>
          <w:ilvl w:val="0"/>
          <w:numId w:val="4"/>
        </w:numPr>
        <w:autoSpaceDE/>
        <w:autoSpaceDN/>
        <w:ind w:left="360"/>
        <w:contextualSpacing/>
        <w:jc w:val="left"/>
        <w:rPr>
          <w:rFonts w:ascii="Calibri" w:eastAsia="Calibri" w:hAnsi="Calibri" w:cs="Arial"/>
          <w:szCs w:val="24"/>
          <w:u w:val="single"/>
        </w:rPr>
      </w:pPr>
      <w:r w:rsidRPr="006C0802">
        <w:rPr>
          <w:rFonts w:ascii="Calibri" w:eastAsia="Calibri" w:hAnsi="Calibri" w:cs="Arial"/>
          <w:szCs w:val="24"/>
          <w:u w:val="single"/>
        </w:rPr>
        <w:t>Uninsured</w:t>
      </w:r>
      <w:r w:rsidRPr="006C0802">
        <w:rPr>
          <w:rFonts w:ascii="Calibri" w:eastAsia="Calibri" w:hAnsi="Calibri" w:cs="Arial"/>
          <w:szCs w:val="24"/>
        </w:rPr>
        <w:t xml:space="preserve">: A person who has no level of insurance or third-party assistance with meeting </w:t>
      </w:r>
      <w:r w:rsidR="00817EAF" w:rsidRPr="006C0802">
        <w:rPr>
          <w:rFonts w:ascii="Calibri" w:eastAsia="Calibri" w:hAnsi="Calibri" w:cs="Arial"/>
          <w:szCs w:val="24"/>
        </w:rPr>
        <w:t>their</w:t>
      </w:r>
      <w:r w:rsidRPr="006C0802">
        <w:rPr>
          <w:rFonts w:ascii="Calibri" w:eastAsia="Calibri" w:hAnsi="Calibri" w:cs="Arial"/>
          <w:szCs w:val="24"/>
        </w:rPr>
        <w:t xml:space="preserve"> payment obligations.</w:t>
      </w:r>
    </w:p>
    <w:p w14:paraId="702F0476" w14:textId="386E4BF0" w:rsidR="00C22160" w:rsidRPr="006C0802" w:rsidRDefault="008F6146" w:rsidP="006C0802">
      <w:pPr>
        <w:pStyle w:val="ListParagraph"/>
        <w:widowControl/>
        <w:numPr>
          <w:ilvl w:val="0"/>
          <w:numId w:val="4"/>
        </w:numPr>
        <w:autoSpaceDE/>
        <w:autoSpaceDN/>
        <w:ind w:left="360"/>
        <w:contextualSpacing/>
        <w:jc w:val="left"/>
        <w:rPr>
          <w:rFonts w:ascii="Calibri" w:eastAsia="Calibri" w:hAnsi="Calibri" w:cs="Arial"/>
          <w:szCs w:val="24"/>
          <w:u w:val="single"/>
        </w:rPr>
      </w:pPr>
      <w:r w:rsidRPr="006C0802">
        <w:rPr>
          <w:rFonts w:ascii="Calibri" w:eastAsia="Calibri" w:hAnsi="Calibri" w:cs="Arial"/>
          <w:szCs w:val="24"/>
          <w:u w:val="single"/>
        </w:rPr>
        <w:t>Underinsured</w:t>
      </w:r>
      <w:r w:rsidRPr="006C0802">
        <w:rPr>
          <w:rFonts w:ascii="Calibri" w:eastAsia="Calibri" w:hAnsi="Calibri" w:cs="Arial"/>
          <w:szCs w:val="24"/>
        </w:rPr>
        <w:t xml:space="preserve">: A person who has some level of insurance or third-party assistance but still has out-of-pocket expenses that exceed </w:t>
      </w:r>
      <w:r w:rsidR="00817EAF" w:rsidRPr="006C0802">
        <w:rPr>
          <w:rFonts w:ascii="Calibri" w:eastAsia="Calibri" w:hAnsi="Calibri" w:cs="Arial"/>
          <w:szCs w:val="24"/>
        </w:rPr>
        <w:t>their</w:t>
      </w:r>
      <w:r w:rsidRPr="006C0802">
        <w:rPr>
          <w:rFonts w:ascii="Calibri" w:eastAsia="Calibri" w:hAnsi="Calibri" w:cs="Arial"/>
          <w:szCs w:val="24"/>
        </w:rPr>
        <w:t xml:space="preserve"> financial abilities.</w:t>
      </w:r>
    </w:p>
    <w:p w14:paraId="2DD22256" w14:textId="211E61C4" w:rsidR="00C22160" w:rsidRPr="006C0802" w:rsidRDefault="008F6146" w:rsidP="006C0802">
      <w:pPr>
        <w:pStyle w:val="ListParagraph"/>
        <w:widowControl/>
        <w:numPr>
          <w:ilvl w:val="0"/>
          <w:numId w:val="4"/>
        </w:numPr>
        <w:autoSpaceDE/>
        <w:autoSpaceDN/>
        <w:ind w:left="360"/>
        <w:contextualSpacing/>
        <w:jc w:val="left"/>
        <w:rPr>
          <w:rFonts w:ascii="Calibri" w:eastAsia="Calibri" w:hAnsi="Calibri" w:cs="Arial"/>
          <w:szCs w:val="24"/>
          <w:u w:val="single"/>
        </w:rPr>
      </w:pPr>
      <w:r w:rsidRPr="006C0802">
        <w:rPr>
          <w:rFonts w:ascii="Calibri" w:eastAsia="Calibri" w:hAnsi="Calibri" w:cs="Arial"/>
          <w:szCs w:val="24"/>
          <w:u w:val="single"/>
        </w:rPr>
        <w:t>Gross charges</w:t>
      </w:r>
      <w:r w:rsidRPr="006C0802">
        <w:rPr>
          <w:rFonts w:ascii="Calibri" w:eastAsia="Calibri" w:hAnsi="Calibri" w:cs="Arial"/>
          <w:szCs w:val="24"/>
        </w:rPr>
        <w:t xml:space="preserve">: Total charges at </w:t>
      </w:r>
      <w:r w:rsidR="002F3B28">
        <w:rPr>
          <w:rFonts w:ascii="Calibri" w:eastAsia="Calibri" w:hAnsi="Calibri" w:cs="Arial"/>
          <w:szCs w:val="24"/>
        </w:rPr>
        <w:t xml:space="preserve">100% of </w:t>
      </w:r>
      <w:r w:rsidR="00B265FE">
        <w:rPr>
          <w:rFonts w:ascii="Calibri" w:eastAsia="Calibri" w:hAnsi="Calibri" w:cs="Arial"/>
          <w:szCs w:val="24"/>
        </w:rPr>
        <w:t>BTCS</w:t>
      </w:r>
      <w:r w:rsidRPr="006C0802">
        <w:rPr>
          <w:rFonts w:ascii="Calibri" w:eastAsia="Calibri" w:hAnsi="Calibri" w:cs="Arial"/>
          <w:szCs w:val="24"/>
        </w:rPr>
        <w:t xml:space="preserve"> established rates for services</w:t>
      </w:r>
      <w:r w:rsidR="002F3B28">
        <w:rPr>
          <w:rFonts w:ascii="Calibri" w:eastAsia="Calibri" w:hAnsi="Calibri" w:cs="Arial"/>
          <w:szCs w:val="24"/>
        </w:rPr>
        <w:t>,</w:t>
      </w:r>
      <w:r w:rsidRPr="006C0802">
        <w:rPr>
          <w:rFonts w:ascii="Calibri" w:eastAsia="Calibri" w:hAnsi="Calibri" w:cs="Arial"/>
          <w:szCs w:val="24"/>
        </w:rPr>
        <w:t xml:space="preserve"> before deductions from revenue are applied.</w:t>
      </w:r>
    </w:p>
    <w:p w14:paraId="3EA5A849" w14:textId="16C742B9" w:rsidR="00C22160" w:rsidRPr="00FA1A48" w:rsidRDefault="008F6146" w:rsidP="00FA1A48">
      <w:pPr>
        <w:pStyle w:val="ListParagraph"/>
        <w:widowControl/>
        <w:numPr>
          <w:ilvl w:val="0"/>
          <w:numId w:val="4"/>
        </w:numPr>
        <w:autoSpaceDE/>
        <w:autoSpaceDN/>
        <w:spacing w:after="240"/>
        <w:ind w:left="360"/>
        <w:contextualSpacing/>
        <w:jc w:val="left"/>
        <w:rPr>
          <w:rFonts w:ascii="Calibri" w:eastAsia="Calibri" w:hAnsi="Calibri" w:cs="Arial"/>
          <w:szCs w:val="24"/>
          <w:u w:val="single"/>
        </w:rPr>
      </w:pPr>
      <w:r w:rsidRPr="006C0802">
        <w:rPr>
          <w:rFonts w:ascii="Calibri" w:eastAsia="Calibri" w:hAnsi="Calibri" w:cs="Arial"/>
          <w:szCs w:val="24"/>
          <w:u w:val="single"/>
        </w:rPr>
        <w:t>Sliding Scale Fee Schedules</w:t>
      </w:r>
      <w:r w:rsidRPr="006C0802">
        <w:rPr>
          <w:rFonts w:ascii="Calibri" w:eastAsia="Calibri" w:hAnsi="Calibri" w:cs="Arial"/>
          <w:szCs w:val="24"/>
        </w:rPr>
        <w:t xml:space="preserve">: </w:t>
      </w:r>
      <w:r w:rsidR="00F46534" w:rsidRPr="006C0802">
        <w:rPr>
          <w:rFonts w:ascii="Calibri" w:eastAsia="Calibri" w:hAnsi="Calibri" w:cs="Arial"/>
          <w:szCs w:val="24"/>
        </w:rPr>
        <w:t>F</w:t>
      </w:r>
      <w:r w:rsidRPr="006C0802">
        <w:rPr>
          <w:rFonts w:ascii="Calibri" w:eastAsia="Calibri" w:hAnsi="Calibri" w:cs="Arial"/>
          <w:szCs w:val="24"/>
        </w:rPr>
        <w:t>inancial share</w:t>
      </w:r>
      <w:r w:rsidR="00F46534" w:rsidRPr="006C0802">
        <w:rPr>
          <w:rFonts w:ascii="Calibri" w:eastAsia="Calibri" w:hAnsi="Calibri" w:cs="Arial"/>
          <w:szCs w:val="24"/>
        </w:rPr>
        <w:t xml:space="preserve"> of individual served,</w:t>
      </w:r>
      <w:r w:rsidRPr="006C0802">
        <w:rPr>
          <w:rFonts w:ascii="Calibri" w:eastAsia="Calibri" w:hAnsi="Calibri" w:cs="Arial"/>
          <w:szCs w:val="24"/>
        </w:rPr>
        <w:t xml:space="preserve"> calculated utilizing rules, regulations, and contractual requirements of the various </w:t>
      </w:r>
      <w:r w:rsidR="00B265FE">
        <w:rPr>
          <w:rFonts w:ascii="Calibri" w:eastAsia="Calibri" w:hAnsi="Calibri" w:cs="Arial"/>
          <w:szCs w:val="24"/>
        </w:rPr>
        <w:t xml:space="preserve">BTCS </w:t>
      </w:r>
      <w:r w:rsidRPr="006C0802">
        <w:rPr>
          <w:rFonts w:ascii="Calibri" w:eastAsia="Calibri" w:hAnsi="Calibri" w:cs="Arial"/>
          <w:szCs w:val="24"/>
        </w:rPr>
        <w:t>funding agencies</w:t>
      </w:r>
      <w:r w:rsidR="005752AA">
        <w:rPr>
          <w:rFonts w:ascii="Calibri" w:eastAsia="Calibri" w:hAnsi="Calibri" w:cs="Arial"/>
          <w:szCs w:val="24"/>
        </w:rPr>
        <w:t>, such as Texas Health and Human Services Commission</w:t>
      </w:r>
      <w:r w:rsidR="00F46534" w:rsidRPr="006C0802">
        <w:rPr>
          <w:rFonts w:ascii="Calibri" w:eastAsia="Calibri" w:hAnsi="Calibri" w:cs="Arial"/>
          <w:szCs w:val="24"/>
        </w:rPr>
        <w:t xml:space="preserve"> </w:t>
      </w:r>
      <w:r w:rsidRPr="006C0802">
        <w:rPr>
          <w:rFonts w:ascii="Calibri" w:eastAsia="Calibri" w:hAnsi="Calibri" w:cs="Arial"/>
          <w:szCs w:val="24"/>
        </w:rPr>
        <w:t>(HHSC</w:t>
      </w:r>
      <w:r w:rsidR="005752AA">
        <w:rPr>
          <w:rFonts w:ascii="Calibri" w:eastAsia="Calibri" w:hAnsi="Calibri" w:cs="Arial"/>
          <w:szCs w:val="24"/>
        </w:rPr>
        <w:t xml:space="preserve">) and </w:t>
      </w:r>
      <w:r w:rsidR="002907FF" w:rsidRPr="002907FF">
        <w:rPr>
          <w:rFonts w:ascii="Calibri" w:eastAsia="Calibri" w:hAnsi="Calibri" w:cs="Arial"/>
          <w:szCs w:val="24"/>
        </w:rPr>
        <w:t>Texas Correctional Office on Offenders with Medical or Mental Impairments</w:t>
      </w:r>
      <w:r w:rsidR="002907FF">
        <w:rPr>
          <w:rFonts w:ascii="Calibri" w:eastAsia="Calibri" w:hAnsi="Calibri" w:cs="Arial"/>
          <w:szCs w:val="24"/>
        </w:rPr>
        <w:t xml:space="preserve"> (</w:t>
      </w:r>
      <w:r w:rsidR="005752AA">
        <w:rPr>
          <w:rFonts w:ascii="Calibri" w:eastAsia="Calibri" w:hAnsi="Calibri" w:cs="Arial"/>
          <w:szCs w:val="24"/>
        </w:rPr>
        <w:t>TCOOMMI</w:t>
      </w:r>
      <w:r w:rsidR="002907FF">
        <w:rPr>
          <w:rFonts w:ascii="Calibri" w:eastAsia="Calibri" w:hAnsi="Calibri" w:cs="Arial"/>
          <w:szCs w:val="24"/>
        </w:rPr>
        <w:t>).</w:t>
      </w:r>
    </w:p>
    <w:p w14:paraId="7435DBF2" w14:textId="110B6DAF" w:rsidR="00C22160" w:rsidRPr="006C0802" w:rsidRDefault="006C0802" w:rsidP="006C0802">
      <w:pPr>
        <w:keepNext/>
        <w:keepLines/>
        <w:widowControl/>
        <w:autoSpaceDE/>
        <w:autoSpaceDN/>
        <w:spacing w:before="40"/>
        <w:outlineLvl w:val="1"/>
        <w:rPr>
          <w:rFonts w:ascii="Calibri Light" w:eastAsia="Times New Roman" w:hAnsi="Calibri Light" w:cs="Times New Roman"/>
          <w:color w:val="2F5496"/>
          <w:sz w:val="26"/>
          <w:szCs w:val="26"/>
        </w:rPr>
      </w:pPr>
      <w:bookmarkStart w:id="2" w:name="_Toc107400365"/>
      <w:r w:rsidRPr="006C0802">
        <w:rPr>
          <w:rFonts w:ascii="Calibri Light" w:eastAsia="Times New Roman" w:hAnsi="Calibri Light" w:cs="Times New Roman"/>
          <w:color w:val="2F5496"/>
          <w:sz w:val="26"/>
          <w:szCs w:val="26"/>
        </w:rPr>
        <w:t>Procedure</w:t>
      </w:r>
      <w:bookmarkEnd w:id="2"/>
    </w:p>
    <w:p w14:paraId="5143D48A" w14:textId="2EEAF9BC" w:rsidR="00C22160" w:rsidRPr="007C3102" w:rsidRDefault="006E3F89" w:rsidP="007C3102">
      <w:pPr>
        <w:pStyle w:val="Heading3"/>
        <w:numPr>
          <w:ilvl w:val="0"/>
          <w:numId w:val="5"/>
        </w:numPr>
        <w:spacing w:before="120" w:line="240" w:lineRule="auto"/>
        <w:ind w:left="360"/>
        <w:rPr>
          <w:rFonts w:ascii="Calibri Light" w:eastAsia="Times New Roman" w:hAnsi="Calibri Light" w:cs="Times New Roman"/>
          <w:color w:val="1F3763"/>
        </w:rPr>
      </w:pPr>
      <w:bookmarkStart w:id="3" w:name="_Toc107400366"/>
      <w:r w:rsidRPr="007C3102">
        <w:rPr>
          <w:rFonts w:ascii="Calibri Light" w:eastAsia="Times New Roman" w:hAnsi="Calibri Light" w:cs="Times New Roman"/>
          <w:color w:val="1F3763"/>
        </w:rPr>
        <w:t>Eligible Services</w:t>
      </w:r>
      <w:bookmarkEnd w:id="3"/>
    </w:p>
    <w:p w14:paraId="323D9544" w14:textId="111BA67A" w:rsidR="00C22160" w:rsidRPr="00EF5CA1" w:rsidRDefault="008F6146" w:rsidP="00EF5CA1">
      <w:pPr>
        <w:pStyle w:val="ListParagraph"/>
        <w:widowControl/>
        <w:numPr>
          <w:ilvl w:val="0"/>
          <w:numId w:val="1"/>
        </w:numPr>
        <w:adjustRightInd w:val="0"/>
        <w:ind w:left="720" w:hanging="360"/>
        <w:contextualSpacing/>
        <w:jc w:val="left"/>
        <w:rPr>
          <w:rFonts w:asciiTheme="minorHAnsi" w:eastAsia="Times New Roman" w:hAnsiTheme="minorHAnsi" w:cstheme="minorHAnsi"/>
          <w:snapToGrid w:val="0"/>
          <w:color w:val="000000"/>
        </w:rPr>
      </w:pPr>
      <w:r w:rsidRPr="00EF5CA1">
        <w:rPr>
          <w:rFonts w:asciiTheme="minorHAnsi" w:eastAsia="Times New Roman" w:hAnsiTheme="minorHAnsi" w:cstheme="minorHAnsi"/>
          <w:snapToGrid w:val="0"/>
          <w:color w:val="000000"/>
        </w:rPr>
        <w:t>For purposes of this p</w:t>
      </w:r>
      <w:r w:rsidR="00F46534" w:rsidRPr="00EF5CA1">
        <w:rPr>
          <w:rFonts w:asciiTheme="minorHAnsi" w:eastAsia="Times New Roman" w:hAnsiTheme="minorHAnsi" w:cstheme="minorHAnsi"/>
          <w:snapToGrid w:val="0"/>
          <w:color w:val="000000"/>
        </w:rPr>
        <w:t>rocedure</w:t>
      </w:r>
      <w:r w:rsidRPr="00EF5CA1">
        <w:rPr>
          <w:rFonts w:asciiTheme="minorHAnsi" w:eastAsia="Times New Roman" w:hAnsiTheme="minorHAnsi" w:cstheme="minorHAnsi"/>
          <w:snapToGrid w:val="0"/>
          <w:color w:val="000000"/>
        </w:rPr>
        <w:t xml:space="preserve">, “charity care” or “financial assistance” refers to healthcare services provided by </w:t>
      </w:r>
      <w:r w:rsidR="00B265FE">
        <w:rPr>
          <w:rFonts w:asciiTheme="minorHAnsi" w:eastAsia="Times New Roman" w:hAnsiTheme="minorHAnsi" w:cstheme="minorHAnsi"/>
          <w:snapToGrid w:val="0"/>
          <w:color w:val="000000"/>
        </w:rPr>
        <w:t>BTCS</w:t>
      </w:r>
      <w:r w:rsidRPr="00EF5CA1">
        <w:rPr>
          <w:rFonts w:asciiTheme="minorHAnsi" w:eastAsia="Times New Roman" w:hAnsiTheme="minorHAnsi" w:cstheme="minorHAnsi"/>
          <w:snapToGrid w:val="0"/>
          <w:color w:val="000000"/>
        </w:rPr>
        <w:t xml:space="preserve"> without charge or at a discount to qualifying </w:t>
      </w:r>
      <w:r w:rsidR="00F46534" w:rsidRPr="00EF5CA1">
        <w:rPr>
          <w:rFonts w:asciiTheme="minorHAnsi" w:eastAsia="Times New Roman" w:hAnsiTheme="minorHAnsi" w:cstheme="minorHAnsi"/>
          <w:snapToGrid w:val="0"/>
          <w:color w:val="000000"/>
        </w:rPr>
        <w:t>individual</w:t>
      </w:r>
      <w:r w:rsidRPr="00EF5CA1">
        <w:rPr>
          <w:rFonts w:asciiTheme="minorHAnsi" w:eastAsia="Times New Roman" w:hAnsiTheme="minorHAnsi" w:cstheme="minorHAnsi"/>
          <w:snapToGrid w:val="0"/>
          <w:color w:val="000000"/>
        </w:rPr>
        <w:t>s. The following healthcare services are eligible for charity care:</w:t>
      </w:r>
    </w:p>
    <w:p w14:paraId="7F941117" w14:textId="2D7E21F5" w:rsidR="00C22160" w:rsidRPr="00EF5CA1" w:rsidRDefault="008F6146" w:rsidP="00EF5CA1">
      <w:pPr>
        <w:pStyle w:val="ListParagraph"/>
        <w:widowControl/>
        <w:numPr>
          <w:ilvl w:val="1"/>
          <w:numId w:val="1"/>
        </w:numPr>
        <w:adjustRightInd w:val="0"/>
        <w:ind w:left="1080" w:hanging="360"/>
        <w:contextualSpacing/>
        <w:rPr>
          <w:rFonts w:asciiTheme="minorHAnsi" w:eastAsia="Times New Roman" w:hAnsiTheme="minorHAnsi" w:cstheme="minorHAnsi"/>
          <w:snapToGrid w:val="0"/>
          <w:color w:val="000000"/>
        </w:rPr>
      </w:pPr>
      <w:r w:rsidRPr="00EF5CA1">
        <w:rPr>
          <w:rFonts w:asciiTheme="minorHAnsi" w:eastAsia="Times New Roman" w:hAnsiTheme="minorHAnsi" w:cstheme="minorHAnsi"/>
          <w:snapToGrid w:val="0"/>
          <w:color w:val="000000"/>
        </w:rPr>
        <w:t>Behavioral health services</w:t>
      </w:r>
      <w:r w:rsidR="00063889">
        <w:rPr>
          <w:rFonts w:asciiTheme="minorHAnsi" w:eastAsia="Times New Roman" w:hAnsiTheme="minorHAnsi" w:cstheme="minorHAnsi"/>
          <w:snapToGrid w:val="0"/>
          <w:color w:val="000000"/>
        </w:rPr>
        <w:t>.</w:t>
      </w:r>
    </w:p>
    <w:p w14:paraId="6E6092D1" w14:textId="5AE97ACF" w:rsidR="00C22160" w:rsidRPr="00EF5CA1" w:rsidRDefault="008F6146" w:rsidP="00EF5CA1">
      <w:pPr>
        <w:pStyle w:val="ListParagraph"/>
        <w:widowControl/>
        <w:numPr>
          <w:ilvl w:val="1"/>
          <w:numId w:val="1"/>
        </w:numPr>
        <w:adjustRightInd w:val="0"/>
        <w:ind w:left="1080" w:hanging="360"/>
        <w:contextualSpacing/>
        <w:rPr>
          <w:rFonts w:asciiTheme="minorHAnsi" w:eastAsia="Times New Roman" w:hAnsiTheme="minorHAnsi" w:cstheme="minorHAnsi"/>
          <w:snapToGrid w:val="0"/>
          <w:color w:val="000000"/>
        </w:rPr>
      </w:pPr>
      <w:r w:rsidRPr="00EF5CA1">
        <w:rPr>
          <w:rFonts w:asciiTheme="minorHAnsi" w:eastAsia="Times New Roman" w:hAnsiTheme="minorHAnsi" w:cstheme="minorHAnsi"/>
          <w:snapToGrid w:val="0"/>
          <w:color w:val="000000"/>
        </w:rPr>
        <w:t>Immunizations</w:t>
      </w:r>
      <w:r w:rsidR="00063889">
        <w:rPr>
          <w:rFonts w:asciiTheme="minorHAnsi" w:eastAsia="Times New Roman" w:hAnsiTheme="minorHAnsi" w:cstheme="minorHAnsi"/>
          <w:snapToGrid w:val="0"/>
          <w:color w:val="000000"/>
        </w:rPr>
        <w:t>.</w:t>
      </w:r>
    </w:p>
    <w:p w14:paraId="09ED58AF" w14:textId="4A1949FD" w:rsidR="00C22160" w:rsidRPr="00EF5CA1" w:rsidRDefault="008F6146" w:rsidP="00EF5CA1">
      <w:pPr>
        <w:pStyle w:val="ListParagraph"/>
        <w:widowControl/>
        <w:numPr>
          <w:ilvl w:val="1"/>
          <w:numId w:val="1"/>
        </w:numPr>
        <w:adjustRightInd w:val="0"/>
        <w:ind w:left="1080" w:hanging="360"/>
        <w:contextualSpacing/>
        <w:rPr>
          <w:rFonts w:asciiTheme="minorHAnsi" w:eastAsia="Times New Roman" w:hAnsiTheme="minorHAnsi" w:cstheme="minorHAnsi"/>
          <w:snapToGrid w:val="0"/>
          <w:color w:val="000000"/>
        </w:rPr>
      </w:pPr>
      <w:r w:rsidRPr="00EF5CA1">
        <w:rPr>
          <w:rFonts w:asciiTheme="minorHAnsi" w:eastAsia="Times New Roman" w:hAnsiTheme="minorHAnsi" w:cstheme="minorHAnsi"/>
          <w:snapToGrid w:val="0"/>
          <w:color w:val="000000"/>
        </w:rPr>
        <w:t>P</w:t>
      </w:r>
      <w:r w:rsidR="004F4D17">
        <w:rPr>
          <w:rFonts w:asciiTheme="minorHAnsi" w:eastAsia="Times New Roman" w:hAnsiTheme="minorHAnsi" w:cstheme="minorHAnsi"/>
          <w:snapToGrid w:val="0"/>
          <w:color w:val="000000"/>
        </w:rPr>
        <w:t xml:space="preserve">rimary </w:t>
      </w:r>
      <w:r w:rsidR="00063889">
        <w:rPr>
          <w:rFonts w:asciiTheme="minorHAnsi" w:eastAsia="Times New Roman" w:hAnsiTheme="minorHAnsi" w:cstheme="minorHAnsi"/>
          <w:snapToGrid w:val="0"/>
          <w:color w:val="000000"/>
        </w:rPr>
        <w:t>c</w:t>
      </w:r>
      <w:r w:rsidR="004F4D17">
        <w:rPr>
          <w:rFonts w:asciiTheme="minorHAnsi" w:eastAsia="Times New Roman" w:hAnsiTheme="minorHAnsi" w:cstheme="minorHAnsi"/>
          <w:snapToGrid w:val="0"/>
          <w:color w:val="000000"/>
        </w:rPr>
        <w:t>are</w:t>
      </w:r>
      <w:r w:rsidRPr="00EF5CA1">
        <w:rPr>
          <w:rFonts w:asciiTheme="minorHAnsi" w:eastAsia="Times New Roman" w:hAnsiTheme="minorHAnsi" w:cstheme="minorHAnsi"/>
          <w:snapToGrid w:val="0"/>
          <w:color w:val="000000"/>
        </w:rPr>
        <w:t xml:space="preserve"> services</w:t>
      </w:r>
      <w:r w:rsidR="00063889">
        <w:rPr>
          <w:rFonts w:asciiTheme="minorHAnsi" w:eastAsia="Times New Roman" w:hAnsiTheme="minorHAnsi" w:cstheme="minorHAnsi"/>
          <w:snapToGrid w:val="0"/>
          <w:color w:val="000000"/>
        </w:rPr>
        <w:t>.</w:t>
      </w:r>
    </w:p>
    <w:p w14:paraId="6F3118AE" w14:textId="4738533D" w:rsidR="00C22160" w:rsidRDefault="008F6146" w:rsidP="00EF5F6B">
      <w:pPr>
        <w:pStyle w:val="ListParagraph"/>
        <w:widowControl/>
        <w:numPr>
          <w:ilvl w:val="1"/>
          <w:numId w:val="1"/>
        </w:numPr>
        <w:adjustRightInd w:val="0"/>
        <w:ind w:left="1080" w:hanging="360"/>
        <w:contextualSpacing/>
        <w:rPr>
          <w:rFonts w:asciiTheme="minorHAnsi" w:eastAsia="Times New Roman" w:hAnsiTheme="minorHAnsi" w:cstheme="minorHAnsi"/>
          <w:snapToGrid w:val="0"/>
          <w:color w:val="000000"/>
        </w:rPr>
      </w:pPr>
      <w:r w:rsidRPr="00EF5CA1">
        <w:rPr>
          <w:rFonts w:asciiTheme="minorHAnsi" w:eastAsia="Times New Roman" w:hAnsiTheme="minorHAnsi" w:cstheme="minorHAnsi"/>
          <w:snapToGrid w:val="0"/>
          <w:color w:val="000000"/>
        </w:rPr>
        <w:t>Other preventative services</w:t>
      </w:r>
      <w:r w:rsidR="00063889">
        <w:rPr>
          <w:rFonts w:asciiTheme="minorHAnsi" w:eastAsia="Times New Roman" w:hAnsiTheme="minorHAnsi" w:cstheme="minorHAnsi"/>
          <w:snapToGrid w:val="0"/>
          <w:color w:val="000000"/>
        </w:rPr>
        <w:t>.</w:t>
      </w:r>
    </w:p>
    <w:p w14:paraId="2E4E64AE" w14:textId="56DE2D51" w:rsidR="00BE723B" w:rsidRDefault="00BE723B" w:rsidP="00EF5F6B">
      <w:pPr>
        <w:pStyle w:val="ListParagraph"/>
        <w:widowControl/>
        <w:numPr>
          <w:ilvl w:val="1"/>
          <w:numId w:val="1"/>
        </w:numPr>
        <w:adjustRightInd w:val="0"/>
        <w:ind w:left="1080" w:hanging="360"/>
        <w:contextualSpacing/>
        <w:rPr>
          <w:rFonts w:asciiTheme="minorHAnsi" w:eastAsia="Times New Roman" w:hAnsiTheme="minorHAnsi" w:cstheme="minorHAnsi"/>
          <w:snapToGrid w:val="0"/>
          <w:color w:val="000000"/>
        </w:rPr>
      </w:pPr>
      <w:r>
        <w:rPr>
          <w:rFonts w:asciiTheme="minorHAnsi" w:eastAsia="Times New Roman" w:hAnsiTheme="minorHAnsi" w:cstheme="minorHAnsi"/>
          <w:snapToGrid w:val="0"/>
          <w:color w:val="000000"/>
        </w:rPr>
        <w:t>All other BTCS services</w:t>
      </w:r>
      <w:r w:rsidR="00063889">
        <w:rPr>
          <w:rFonts w:asciiTheme="minorHAnsi" w:eastAsia="Times New Roman" w:hAnsiTheme="minorHAnsi" w:cstheme="minorHAnsi"/>
          <w:snapToGrid w:val="0"/>
          <w:color w:val="000000"/>
        </w:rPr>
        <w:t>.</w:t>
      </w:r>
    </w:p>
    <w:p w14:paraId="22DEB1C1" w14:textId="77777777" w:rsidR="00195404" w:rsidRDefault="00195404" w:rsidP="00E71BD8">
      <w:pPr>
        <w:widowControl/>
        <w:adjustRightInd w:val="0"/>
        <w:contextualSpacing/>
        <w:rPr>
          <w:rFonts w:asciiTheme="minorHAnsi" w:eastAsia="Times New Roman" w:hAnsiTheme="minorHAnsi" w:cstheme="minorHAnsi"/>
          <w:snapToGrid w:val="0"/>
          <w:color w:val="000000"/>
        </w:rPr>
      </w:pPr>
    </w:p>
    <w:p w14:paraId="78CC8B24" w14:textId="6C3568C7" w:rsidR="00AF63CB" w:rsidRPr="00AF63CB" w:rsidRDefault="00AF63CB" w:rsidP="00437763">
      <w:pPr>
        <w:widowControl/>
        <w:adjustRightInd w:val="0"/>
        <w:ind w:left="720"/>
        <w:contextualSpacing/>
        <w:rPr>
          <w:rFonts w:asciiTheme="minorHAnsi" w:eastAsia="Times New Roman" w:hAnsiTheme="minorHAnsi" w:cstheme="minorHAnsi"/>
          <w:snapToGrid w:val="0"/>
          <w:color w:val="000000"/>
        </w:rPr>
      </w:pPr>
      <w:r w:rsidRPr="00AF63CB">
        <w:rPr>
          <w:rFonts w:asciiTheme="minorHAnsi" w:eastAsia="Times New Roman" w:hAnsiTheme="minorHAnsi" w:cstheme="minorHAnsi"/>
          <w:snapToGrid w:val="0"/>
          <w:color w:val="000000"/>
        </w:rPr>
        <w:t xml:space="preserve">Eligible services </w:t>
      </w:r>
      <w:r w:rsidR="007346D7">
        <w:rPr>
          <w:rFonts w:asciiTheme="minorHAnsi" w:eastAsia="Times New Roman" w:hAnsiTheme="minorHAnsi" w:cstheme="minorHAnsi"/>
          <w:snapToGrid w:val="0"/>
          <w:color w:val="000000"/>
        </w:rPr>
        <w:t xml:space="preserve">may be </w:t>
      </w:r>
      <w:r w:rsidRPr="00AF63CB">
        <w:rPr>
          <w:rFonts w:asciiTheme="minorHAnsi" w:eastAsia="Times New Roman" w:hAnsiTheme="minorHAnsi" w:cstheme="minorHAnsi"/>
          <w:snapToGrid w:val="0"/>
          <w:color w:val="000000"/>
        </w:rPr>
        <w:t xml:space="preserve">provided by </w:t>
      </w:r>
      <w:r w:rsidR="007346D7">
        <w:rPr>
          <w:rFonts w:asciiTheme="minorHAnsi" w:eastAsia="Times New Roman" w:hAnsiTheme="minorHAnsi" w:cstheme="minorHAnsi"/>
          <w:snapToGrid w:val="0"/>
          <w:color w:val="000000"/>
        </w:rPr>
        <w:t xml:space="preserve">our </w:t>
      </w:r>
      <w:r w:rsidRPr="00AF63CB">
        <w:rPr>
          <w:rFonts w:asciiTheme="minorHAnsi" w:eastAsia="Times New Roman" w:hAnsiTheme="minorHAnsi" w:cstheme="minorHAnsi"/>
          <w:snapToGrid w:val="0"/>
          <w:color w:val="000000"/>
        </w:rPr>
        <w:t xml:space="preserve">licensed professionals and staff who are certified and qualified </w:t>
      </w:r>
      <w:r w:rsidR="00330DE0">
        <w:rPr>
          <w:rFonts w:asciiTheme="minorHAnsi" w:eastAsia="Times New Roman" w:hAnsiTheme="minorHAnsi" w:cstheme="minorHAnsi"/>
          <w:snapToGrid w:val="0"/>
          <w:color w:val="000000"/>
        </w:rPr>
        <w:t>by</w:t>
      </w:r>
      <w:r w:rsidRPr="00AF63CB">
        <w:rPr>
          <w:rFonts w:asciiTheme="minorHAnsi" w:eastAsia="Times New Roman" w:hAnsiTheme="minorHAnsi" w:cstheme="minorHAnsi"/>
          <w:snapToGrid w:val="0"/>
          <w:color w:val="000000"/>
        </w:rPr>
        <w:t xml:space="preserve"> state and nationally recognized training and curricul</w:t>
      </w:r>
      <w:r w:rsidR="00D051DA">
        <w:rPr>
          <w:rFonts w:asciiTheme="minorHAnsi" w:eastAsia="Times New Roman" w:hAnsiTheme="minorHAnsi" w:cstheme="minorHAnsi"/>
          <w:snapToGrid w:val="0"/>
          <w:color w:val="000000"/>
        </w:rPr>
        <w:t>a</w:t>
      </w:r>
      <w:r w:rsidRPr="00AF63CB">
        <w:rPr>
          <w:rFonts w:asciiTheme="minorHAnsi" w:eastAsia="Times New Roman" w:hAnsiTheme="minorHAnsi" w:cstheme="minorHAnsi"/>
          <w:snapToGrid w:val="0"/>
          <w:color w:val="000000"/>
        </w:rPr>
        <w:t>.    </w:t>
      </w:r>
    </w:p>
    <w:p w14:paraId="434F27A6" w14:textId="77777777" w:rsidR="005474C9" w:rsidRDefault="005474C9" w:rsidP="00437763">
      <w:pPr>
        <w:widowControl/>
        <w:adjustRightInd w:val="0"/>
        <w:contextualSpacing/>
        <w:rPr>
          <w:rFonts w:asciiTheme="minorHAnsi" w:eastAsia="Times New Roman" w:hAnsiTheme="minorHAnsi" w:cstheme="minorHAnsi"/>
          <w:snapToGrid w:val="0"/>
          <w:color w:val="000000"/>
        </w:rPr>
      </w:pPr>
    </w:p>
    <w:p w14:paraId="025791E1" w14:textId="43BBAF05" w:rsidR="00B23895" w:rsidRPr="00437763" w:rsidRDefault="006A7651" w:rsidP="006A7651">
      <w:pPr>
        <w:widowControl/>
        <w:adjustRightInd w:val="0"/>
        <w:ind w:firstLine="360"/>
        <w:contextualSpacing/>
        <w:rPr>
          <w:rFonts w:asciiTheme="minorHAnsi" w:eastAsia="Times New Roman" w:hAnsiTheme="minorHAnsi" w:cstheme="minorHAnsi"/>
          <w:snapToGrid w:val="0"/>
          <w:color w:val="000000"/>
        </w:rPr>
      </w:pPr>
      <w:r>
        <w:rPr>
          <w:rFonts w:asciiTheme="minorHAnsi" w:eastAsia="Times New Roman" w:hAnsiTheme="minorHAnsi" w:cstheme="minorHAnsi"/>
          <w:snapToGrid w:val="0"/>
          <w:color w:val="000000"/>
        </w:rPr>
        <w:tab/>
      </w:r>
      <w:r w:rsidR="003C11A6">
        <w:rPr>
          <w:rFonts w:asciiTheme="minorHAnsi" w:eastAsia="Times New Roman" w:hAnsiTheme="minorHAnsi" w:cstheme="minorHAnsi"/>
          <w:snapToGrid w:val="0"/>
          <w:color w:val="000000"/>
        </w:rPr>
        <w:t>View</w:t>
      </w:r>
      <w:r w:rsidR="00B23895">
        <w:rPr>
          <w:rFonts w:asciiTheme="minorHAnsi" w:eastAsia="Times New Roman" w:hAnsiTheme="minorHAnsi" w:cstheme="minorHAnsi"/>
          <w:snapToGrid w:val="0"/>
          <w:color w:val="000000"/>
        </w:rPr>
        <w:t xml:space="preserve"> the full </w:t>
      </w:r>
      <w:hyperlink r:id="rId8" w:history="1">
        <w:r w:rsidR="003C11A6">
          <w:rPr>
            <w:rStyle w:val="Hyperlink"/>
            <w:rFonts w:asciiTheme="minorHAnsi" w:eastAsia="Times New Roman" w:hAnsiTheme="minorHAnsi" w:cstheme="minorHAnsi"/>
            <w:snapToGrid w:val="0"/>
          </w:rPr>
          <w:t>Provider List (PDF)</w:t>
        </w:r>
      </w:hyperlink>
      <w:r w:rsidR="00B23895">
        <w:rPr>
          <w:rFonts w:asciiTheme="minorHAnsi" w:eastAsia="Times New Roman" w:hAnsiTheme="minorHAnsi" w:cstheme="minorHAnsi"/>
          <w:snapToGrid w:val="0"/>
          <w:color w:val="000000"/>
        </w:rPr>
        <w:t>.</w:t>
      </w:r>
    </w:p>
    <w:p w14:paraId="3488BE9A" w14:textId="3BF2E743" w:rsidR="007C3102" w:rsidRPr="007C3102" w:rsidRDefault="007C3102" w:rsidP="00A431ED">
      <w:pPr>
        <w:pStyle w:val="Heading3"/>
        <w:numPr>
          <w:ilvl w:val="0"/>
          <w:numId w:val="5"/>
        </w:numPr>
        <w:spacing w:before="240" w:line="240" w:lineRule="auto"/>
        <w:ind w:left="360"/>
        <w:rPr>
          <w:rFonts w:ascii="Calibri Light" w:eastAsia="Times New Roman" w:hAnsi="Calibri Light" w:cs="Times New Roman"/>
          <w:color w:val="1F3763"/>
        </w:rPr>
      </w:pPr>
      <w:bookmarkStart w:id="4" w:name="_Toc107400367"/>
      <w:r w:rsidRPr="007C3102">
        <w:rPr>
          <w:rFonts w:ascii="Calibri Light" w:eastAsia="Times New Roman" w:hAnsi="Calibri Light" w:cs="Times New Roman"/>
          <w:color w:val="1F3763"/>
        </w:rPr>
        <w:lastRenderedPageBreak/>
        <w:t>Eligibility</w:t>
      </w:r>
      <w:bookmarkEnd w:id="4"/>
      <w:r w:rsidRPr="007C3102">
        <w:rPr>
          <w:rFonts w:ascii="Calibri Light" w:eastAsia="Times New Roman" w:hAnsi="Calibri Light" w:cs="Times New Roman"/>
          <w:color w:val="1F3763"/>
        </w:rPr>
        <w:t xml:space="preserve"> </w:t>
      </w:r>
    </w:p>
    <w:p w14:paraId="3A3369F2" w14:textId="4997B223" w:rsidR="00C22160" w:rsidRPr="00D73405" w:rsidRDefault="008F6146" w:rsidP="00D73405">
      <w:pPr>
        <w:pStyle w:val="ListParagraph"/>
        <w:widowControl/>
        <w:numPr>
          <w:ilvl w:val="0"/>
          <w:numId w:val="6"/>
        </w:numPr>
        <w:adjustRightInd w:val="0"/>
        <w:ind w:left="720" w:hanging="360"/>
        <w:contextualSpacing/>
        <w:jc w:val="left"/>
        <w:rPr>
          <w:rFonts w:ascii="Calibri" w:eastAsia="Times New Roman" w:hAnsi="Calibri" w:cs="Times New Roman"/>
          <w:snapToGrid w:val="0"/>
          <w:color w:val="000000"/>
        </w:rPr>
      </w:pPr>
      <w:r w:rsidRPr="005F6C35">
        <w:rPr>
          <w:rFonts w:ascii="Calibri" w:eastAsia="Times New Roman" w:hAnsi="Calibri" w:cs="Times New Roman"/>
          <w:snapToGrid w:val="0"/>
          <w:color w:val="000000"/>
        </w:rPr>
        <w:t xml:space="preserve">Eligibility for charity care will be considered for those </w:t>
      </w:r>
      <w:r w:rsidR="00F46534" w:rsidRPr="005F6C35">
        <w:rPr>
          <w:rFonts w:ascii="Calibri" w:eastAsia="Times New Roman" w:hAnsi="Calibri" w:cs="Times New Roman"/>
          <w:snapToGrid w:val="0"/>
          <w:color w:val="000000"/>
        </w:rPr>
        <w:t>individuals</w:t>
      </w:r>
      <w:r w:rsidRPr="005F6C35">
        <w:rPr>
          <w:rFonts w:ascii="Calibri" w:eastAsia="Times New Roman" w:hAnsi="Calibri" w:cs="Times New Roman"/>
          <w:snapToGrid w:val="0"/>
          <w:color w:val="000000"/>
        </w:rPr>
        <w:t xml:space="preserve"> who are uninsured, underinsured, and who are unable to pay for their care, based upon a determination of financial need in accordance with this </w:t>
      </w:r>
      <w:r w:rsidR="00F46534" w:rsidRPr="005F6C35">
        <w:rPr>
          <w:rFonts w:ascii="Calibri" w:eastAsia="Times New Roman" w:hAnsi="Calibri" w:cs="Times New Roman"/>
          <w:snapToGrid w:val="0"/>
          <w:color w:val="000000"/>
        </w:rPr>
        <w:t>procedure</w:t>
      </w:r>
      <w:r w:rsidRPr="005F6C35">
        <w:rPr>
          <w:rFonts w:ascii="Calibri" w:eastAsia="Times New Roman" w:hAnsi="Calibri" w:cs="Times New Roman"/>
          <w:snapToGrid w:val="0"/>
          <w:color w:val="000000"/>
        </w:rPr>
        <w:t>. The granting of charity care is based on an individualized determination of financial need, and does not consider age, gender, race, social or immigrant status, sexual orientation, or religious affiliation.</w:t>
      </w:r>
    </w:p>
    <w:p w14:paraId="61742D19" w14:textId="698A4AFD" w:rsidR="00C22160" w:rsidRPr="00E66B3A" w:rsidRDefault="008F6146" w:rsidP="00D73405">
      <w:pPr>
        <w:pStyle w:val="ListParagraph"/>
        <w:widowControl/>
        <w:numPr>
          <w:ilvl w:val="0"/>
          <w:numId w:val="6"/>
        </w:numPr>
        <w:adjustRightInd w:val="0"/>
        <w:ind w:left="720" w:hanging="360"/>
        <w:contextualSpacing/>
        <w:jc w:val="left"/>
        <w:rPr>
          <w:rFonts w:ascii="Calibri" w:eastAsia="Times New Roman" w:hAnsi="Calibri" w:cs="Times New Roman"/>
          <w:snapToGrid w:val="0"/>
          <w:color w:val="000000"/>
        </w:rPr>
      </w:pPr>
      <w:r w:rsidRPr="00E66B3A">
        <w:rPr>
          <w:rFonts w:ascii="Calibri" w:eastAsia="Times New Roman" w:hAnsi="Calibri" w:cs="Times New Roman"/>
          <w:snapToGrid w:val="0"/>
          <w:color w:val="000000"/>
        </w:rPr>
        <w:t xml:space="preserve">Method by Which </w:t>
      </w:r>
      <w:r w:rsidR="00D616C1" w:rsidRPr="00E66B3A">
        <w:rPr>
          <w:rFonts w:ascii="Calibri" w:eastAsia="Times New Roman" w:hAnsi="Calibri" w:cs="Times New Roman"/>
          <w:snapToGrid w:val="0"/>
          <w:color w:val="000000"/>
        </w:rPr>
        <w:t>Individuals</w:t>
      </w:r>
      <w:r w:rsidRPr="00E66B3A">
        <w:rPr>
          <w:rFonts w:ascii="Calibri" w:eastAsia="Times New Roman" w:hAnsi="Calibri" w:cs="Times New Roman"/>
          <w:snapToGrid w:val="0"/>
          <w:color w:val="000000"/>
        </w:rPr>
        <w:t xml:space="preserve"> May Apply or be Assessed for Charity Care</w:t>
      </w:r>
      <w:r w:rsidR="002907FF" w:rsidRPr="00E66B3A">
        <w:rPr>
          <w:rFonts w:ascii="Calibri" w:eastAsia="Times New Roman" w:hAnsi="Calibri" w:cs="Times New Roman"/>
          <w:snapToGrid w:val="0"/>
          <w:color w:val="000000"/>
        </w:rPr>
        <w:t>:</w:t>
      </w:r>
    </w:p>
    <w:p w14:paraId="40F2FD29" w14:textId="11816DE7" w:rsidR="00C22160" w:rsidRPr="00392E57" w:rsidRDefault="008F6146" w:rsidP="00392E57">
      <w:pPr>
        <w:pStyle w:val="ListParagraph"/>
        <w:widowControl/>
        <w:numPr>
          <w:ilvl w:val="1"/>
          <w:numId w:val="6"/>
        </w:numPr>
        <w:adjustRightInd w:val="0"/>
        <w:ind w:left="1080" w:hanging="360"/>
        <w:contextualSpacing/>
        <w:rPr>
          <w:rFonts w:ascii="Calibri" w:eastAsia="Times New Roman" w:hAnsi="Calibri" w:cs="Times New Roman"/>
          <w:snapToGrid w:val="0"/>
          <w:color w:val="000000"/>
        </w:rPr>
      </w:pPr>
      <w:r w:rsidRPr="00392E57">
        <w:rPr>
          <w:rFonts w:ascii="Calibri" w:eastAsia="Times New Roman" w:hAnsi="Calibri" w:cs="Times New Roman"/>
          <w:snapToGrid w:val="0"/>
          <w:color w:val="000000"/>
        </w:rPr>
        <w:t xml:space="preserve">Financial need is determined in accordance with procedures that </w:t>
      </w:r>
      <w:r w:rsidR="00A431ED" w:rsidRPr="00392E57">
        <w:rPr>
          <w:rFonts w:ascii="Calibri" w:eastAsia="Times New Roman" w:hAnsi="Calibri" w:cs="Times New Roman"/>
          <w:snapToGrid w:val="0"/>
          <w:color w:val="000000"/>
        </w:rPr>
        <w:t>involve</w:t>
      </w:r>
      <w:r w:rsidRPr="00392E57">
        <w:rPr>
          <w:rFonts w:ascii="Calibri" w:eastAsia="Times New Roman" w:hAnsi="Calibri" w:cs="Times New Roman"/>
          <w:snapToGrid w:val="0"/>
          <w:color w:val="000000"/>
        </w:rPr>
        <w:t xml:space="preserve"> an individual assessment of financial need and may</w:t>
      </w:r>
      <w:r w:rsidR="002907FF">
        <w:rPr>
          <w:rFonts w:ascii="Calibri" w:eastAsia="Times New Roman" w:hAnsi="Calibri" w:cs="Times New Roman"/>
          <w:snapToGrid w:val="0"/>
          <w:color w:val="000000"/>
        </w:rPr>
        <w:t>:</w:t>
      </w:r>
    </w:p>
    <w:p w14:paraId="44E6E902" w14:textId="003DA9BE" w:rsidR="00C22160" w:rsidRPr="00FA1A48" w:rsidRDefault="008F6146" w:rsidP="00FA1A48">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sidRPr="00FA1A48">
        <w:rPr>
          <w:rFonts w:ascii="Calibri" w:eastAsia="Times New Roman" w:hAnsi="Calibri" w:cs="Times New Roman"/>
          <w:snapToGrid w:val="0"/>
          <w:color w:val="000000"/>
        </w:rPr>
        <w:t xml:space="preserve">Include an application or assessment process, in which the </w:t>
      </w:r>
      <w:r w:rsidR="00D616C1" w:rsidRPr="00FA1A48">
        <w:rPr>
          <w:rFonts w:ascii="Calibri" w:eastAsia="Times New Roman" w:hAnsi="Calibri" w:cs="Times New Roman"/>
          <w:snapToGrid w:val="0"/>
          <w:color w:val="000000"/>
        </w:rPr>
        <w:t>individual</w:t>
      </w:r>
      <w:r w:rsidRPr="00FA1A48">
        <w:rPr>
          <w:rFonts w:ascii="Calibri" w:eastAsia="Times New Roman" w:hAnsi="Calibri" w:cs="Times New Roman"/>
          <w:snapToGrid w:val="0"/>
          <w:color w:val="000000"/>
        </w:rPr>
        <w:t xml:space="preserve"> or the </w:t>
      </w:r>
      <w:r w:rsidR="00D616C1" w:rsidRPr="00FA1A48">
        <w:rPr>
          <w:rFonts w:ascii="Calibri" w:eastAsia="Times New Roman" w:hAnsi="Calibri" w:cs="Times New Roman"/>
          <w:snapToGrid w:val="0"/>
          <w:color w:val="000000"/>
        </w:rPr>
        <w:t>individual’s</w:t>
      </w:r>
      <w:r w:rsidRPr="00FA1A48">
        <w:rPr>
          <w:rFonts w:ascii="Calibri" w:eastAsia="Times New Roman" w:hAnsi="Calibri" w:cs="Times New Roman"/>
          <w:snapToGrid w:val="0"/>
          <w:color w:val="000000"/>
        </w:rPr>
        <w:t xml:space="preserve"> Legally Authorized Representative (LAR) are required to cooperate and supply personal financial and other information and documentation relevant to a determination of financial need.</w:t>
      </w:r>
      <w:r w:rsidR="00C90906">
        <w:rPr>
          <w:rFonts w:ascii="Calibri" w:eastAsia="Times New Roman" w:hAnsi="Calibri" w:cs="Times New Roman"/>
          <w:snapToGrid w:val="0"/>
          <w:color w:val="000000"/>
        </w:rPr>
        <w:t xml:space="preserve"> </w:t>
      </w:r>
      <w:r w:rsidR="00F448C6" w:rsidRPr="00F448C6">
        <w:rPr>
          <w:rFonts w:ascii="Calibri" w:eastAsia="Times New Roman" w:hAnsi="Calibri" w:cs="Times New Roman"/>
          <w:snapToGrid w:val="0"/>
          <w:color w:val="000000"/>
        </w:rPr>
        <w:t xml:space="preserve">For individuals </w:t>
      </w:r>
      <w:r w:rsidR="00E728FC">
        <w:rPr>
          <w:rFonts w:ascii="Calibri" w:eastAsia="Times New Roman" w:hAnsi="Calibri" w:cs="Times New Roman"/>
          <w:snapToGrid w:val="0"/>
          <w:color w:val="000000"/>
        </w:rPr>
        <w:t xml:space="preserve">experiencing </w:t>
      </w:r>
      <w:r w:rsidR="00F448C6" w:rsidRPr="00F448C6">
        <w:rPr>
          <w:rFonts w:ascii="Calibri" w:eastAsia="Times New Roman" w:hAnsi="Calibri" w:cs="Times New Roman"/>
          <w:snapToGrid w:val="0"/>
          <w:color w:val="000000"/>
        </w:rPr>
        <w:t>continuous unemploy</w:t>
      </w:r>
      <w:r w:rsidR="00E728FC">
        <w:rPr>
          <w:rFonts w:ascii="Calibri" w:eastAsia="Times New Roman" w:hAnsi="Calibri" w:cs="Times New Roman"/>
          <w:snapToGrid w:val="0"/>
          <w:color w:val="000000"/>
        </w:rPr>
        <w:t>ment, a</w:t>
      </w:r>
      <w:r w:rsidR="00940D70">
        <w:rPr>
          <w:rFonts w:ascii="Calibri" w:eastAsia="Times New Roman" w:hAnsi="Calibri" w:cs="Times New Roman"/>
          <w:snapToGrid w:val="0"/>
          <w:color w:val="000000"/>
        </w:rPr>
        <w:t xml:space="preserve"> </w:t>
      </w:r>
      <w:r w:rsidR="000B7238">
        <w:rPr>
          <w:rFonts w:ascii="Calibri" w:eastAsia="Times New Roman" w:hAnsi="Calibri" w:cs="Times New Roman"/>
          <w:snapToGrid w:val="0"/>
          <w:color w:val="000000"/>
        </w:rPr>
        <w:t>L</w:t>
      </w:r>
      <w:r w:rsidR="00F448C6" w:rsidRPr="00F448C6">
        <w:rPr>
          <w:rFonts w:ascii="Calibri" w:eastAsia="Times New Roman" w:hAnsi="Calibri" w:cs="Times New Roman"/>
          <w:snapToGrid w:val="0"/>
          <w:color w:val="000000"/>
        </w:rPr>
        <w:t xml:space="preserve">etter of </w:t>
      </w:r>
      <w:r w:rsidR="00183BD8">
        <w:rPr>
          <w:rFonts w:ascii="Calibri" w:eastAsia="Times New Roman" w:hAnsi="Calibri" w:cs="Times New Roman"/>
          <w:snapToGrid w:val="0"/>
          <w:color w:val="000000"/>
        </w:rPr>
        <w:t>S</w:t>
      </w:r>
      <w:r w:rsidR="00183BD8" w:rsidRPr="00F448C6">
        <w:rPr>
          <w:rFonts w:ascii="Calibri" w:eastAsia="Times New Roman" w:hAnsi="Calibri" w:cs="Times New Roman"/>
          <w:snapToGrid w:val="0"/>
          <w:color w:val="000000"/>
        </w:rPr>
        <w:t>upport</w:t>
      </w:r>
      <w:r w:rsidR="00183BD8">
        <w:rPr>
          <w:rFonts w:ascii="Calibri" w:eastAsia="Times New Roman" w:hAnsi="Calibri" w:cs="Times New Roman"/>
          <w:snapToGrid w:val="0"/>
          <w:color w:val="000000"/>
        </w:rPr>
        <w:t xml:space="preserve"> </w:t>
      </w:r>
      <w:r w:rsidR="00F448C6" w:rsidRPr="00F448C6">
        <w:rPr>
          <w:rFonts w:ascii="Calibri" w:eastAsia="Times New Roman" w:hAnsi="Calibri" w:cs="Times New Roman"/>
          <w:snapToGrid w:val="0"/>
          <w:color w:val="000000"/>
        </w:rPr>
        <w:t>f</w:t>
      </w:r>
      <w:r w:rsidR="00940D70">
        <w:rPr>
          <w:rFonts w:ascii="Calibri" w:eastAsia="Times New Roman" w:hAnsi="Calibri" w:cs="Times New Roman"/>
          <w:snapToGrid w:val="0"/>
          <w:color w:val="000000"/>
        </w:rPr>
        <w:t xml:space="preserve">orm </w:t>
      </w:r>
      <w:r w:rsidR="00727E0F">
        <w:rPr>
          <w:rFonts w:ascii="Calibri" w:eastAsia="Times New Roman" w:hAnsi="Calibri" w:cs="Times New Roman"/>
          <w:snapToGrid w:val="0"/>
          <w:color w:val="000000"/>
        </w:rPr>
        <w:t xml:space="preserve">located </w:t>
      </w:r>
      <w:r w:rsidR="00940D70">
        <w:rPr>
          <w:rFonts w:ascii="Calibri" w:eastAsia="Times New Roman" w:hAnsi="Calibri" w:cs="Times New Roman"/>
          <w:snapToGrid w:val="0"/>
          <w:color w:val="000000"/>
        </w:rPr>
        <w:t>in SmartCare may be required</w:t>
      </w:r>
      <w:r w:rsidR="00727E0F">
        <w:rPr>
          <w:rFonts w:ascii="Calibri" w:eastAsia="Times New Roman" w:hAnsi="Calibri" w:cs="Times New Roman"/>
          <w:snapToGrid w:val="0"/>
          <w:color w:val="000000"/>
        </w:rPr>
        <w:t xml:space="preserve"> and initiated by the individual in services</w:t>
      </w:r>
      <w:r w:rsidR="00940D70">
        <w:rPr>
          <w:rFonts w:ascii="Calibri" w:eastAsia="Times New Roman" w:hAnsi="Calibri" w:cs="Times New Roman"/>
          <w:snapToGrid w:val="0"/>
          <w:color w:val="000000"/>
        </w:rPr>
        <w:t xml:space="preserve">. </w:t>
      </w:r>
      <w:r w:rsidR="00727E0F">
        <w:rPr>
          <w:rFonts w:ascii="Calibri" w:eastAsia="Times New Roman" w:hAnsi="Calibri" w:cs="Times New Roman"/>
          <w:snapToGrid w:val="0"/>
          <w:color w:val="000000"/>
        </w:rPr>
        <w:t xml:space="preserve">Alongside the individual in services, the </w:t>
      </w:r>
      <w:r w:rsidR="00551060">
        <w:rPr>
          <w:rFonts w:ascii="Calibri" w:eastAsia="Times New Roman" w:hAnsi="Calibri" w:cs="Times New Roman"/>
          <w:snapToGrid w:val="0"/>
          <w:color w:val="000000"/>
        </w:rPr>
        <w:t>form will be completed</w:t>
      </w:r>
      <w:r w:rsidR="00F448C6" w:rsidRPr="00F448C6">
        <w:rPr>
          <w:rFonts w:ascii="Calibri" w:eastAsia="Times New Roman" w:hAnsi="Calibri" w:cs="Times New Roman"/>
          <w:snapToGrid w:val="0"/>
          <w:color w:val="000000"/>
        </w:rPr>
        <w:t xml:space="preserve"> by </w:t>
      </w:r>
      <w:r w:rsidR="00A431ED">
        <w:rPr>
          <w:rFonts w:ascii="Calibri" w:eastAsia="Times New Roman" w:hAnsi="Calibri" w:cs="Times New Roman"/>
          <w:snapToGrid w:val="0"/>
          <w:color w:val="000000"/>
        </w:rPr>
        <w:t>a</w:t>
      </w:r>
      <w:r w:rsidR="00F448C6" w:rsidRPr="00F448C6">
        <w:rPr>
          <w:rFonts w:ascii="Calibri" w:eastAsia="Times New Roman" w:hAnsi="Calibri" w:cs="Times New Roman"/>
          <w:snapToGrid w:val="0"/>
          <w:color w:val="000000"/>
        </w:rPr>
        <w:t xml:space="preserve"> </w:t>
      </w:r>
      <w:r w:rsidR="00A431ED">
        <w:rPr>
          <w:rFonts w:ascii="Calibri" w:eastAsia="Times New Roman" w:hAnsi="Calibri" w:cs="Times New Roman"/>
          <w:snapToGrid w:val="0"/>
          <w:color w:val="000000"/>
        </w:rPr>
        <w:t>c</w:t>
      </w:r>
      <w:r w:rsidR="00F448C6" w:rsidRPr="00F448C6">
        <w:rPr>
          <w:rFonts w:ascii="Calibri" w:eastAsia="Times New Roman" w:hAnsi="Calibri" w:cs="Times New Roman"/>
          <w:snapToGrid w:val="0"/>
          <w:color w:val="000000"/>
        </w:rPr>
        <w:t xml:space="preserve">ustomer </w:t>
      </w:r>
      <w:r w:rsidR="00A431ED">
        <w:rPr>
          <w:rFonts w:ascii="Calibri" w:eastAsia="Times New Roman" w:hAnsi="Calibri" w:cs="Times New Roman"/>
          <w:snapToGrid w:val="0"/>
          <w:color w:val="000000"/>
        </w:rPr>
        <w:t>s</w:t>
      </w:r>
      <w:r w:rsidR="00F448C6" w:rsidRPr="00F448C6">
        <w:rPr>
          <w:rFonts w:ascii="Calibri" w:eastAsia="Times New Roman" w:hAnsi="Calibri" w:cs="Times New Roman"/>
          <w:snapToGrid w:val="0"/>
          <w:color w:val="000000"/>
        </w:rPr>
        <w:t xml:space="preserve">ervice </w:t>
      </w:r>
      <w:r w:rsidR="00A431ED">
        <w:rPr>
          <w:rFonts w:ascii="Calibri" w:eastAsia="Times New Roman" w:hAnsi="Calibri" w:cs="Times New Roman"/>
          <w:snapToGrid w:val="0"/>
          <w:color w:val="000000"/>
        </w:rPr>
        <w:t>r</w:t>
      </w:r>
      <w:r w:rsidR="00F448C6" w:rsidRPr="00F448C6">
        <w:rPr>
          <w:rFonts w:ascii="Calibri" w:eastAsia="Times New Roman" w:hAnsi="Calibri" w:cs="Times New Roman"/>
          <w:snapToGrid w:val="0"/>
          <w:color w:val="000000"/>
        </w:rPr>
        <w:t xml:space="preserve">epresentative, </w:t>
      </w:r>
      <w:r w:rsidR="00A431ED">
        <w:rPr>
          <w:rFonts w:ascii="Calibri" w:eastAsia="Times New Roman" w:hAnsi="Calibri" w:cs="Times New Roman"/>
          <w:snapToGrid w:val="0"/>
          <w:color w:val="000000"/>
        </w:rPr>
        <w:t>o</w:t>
      </w:r>
      <w:r w:rsidR="00F448C6" w:rsidRPr="00F448C6">
        <w:rPr>
          <w:rFonts w:ascii="Calibri" w:eastAsia="Times New Roman" w:hAnsi="Calibri" w:cs="Times New Roman"/>
          <w:snapToGrid w:val="0"/>
          <w:color w:val="000000"/>
        </w:rPr>
        <w:t xml:space="preserve">ffice </w:t>
      </w:r>
      <w:r w:rsidR="00A431ED">
        <w:rPr>
          <w:rFonts w:ascii="Calibri" w:eastAsia="Times New Roman" w:hAnsi="Calibri" w:cs="Times New Roman"/>
          <w:snapToGrid w:val="0"/>
          <w:color w:val="000000"/>
        </w:rPr>
        <w:t>m</w:t>
      </w:r>
      <w:r w:rsidR="00F448C6" w:rsidRPr="00F448C6">
        <w:rPr>
          <w:rFonts w:ascii="Calibri" w:eastAsia="Times New Roman" w:hAnsi="Calibri" w:cs="Times New Roman"/>
          <w:snapToGrid w:val="0"/>
          <w:color w:val="000000"/>
        </w:rPr>
        <w:t>anager</w:t>
      </w:r>
      <w:r w:rsidR="00A431ED">
        <w:rPr>
          <w:rFonts w:ascii="Calibri" w:eastAsia="Times New Roman" w:hAnsi="Calibri" w:cs="Times New Roman"/>
          <w:snapToGrid w:val="0"/>
          <w:color w:val="000000"/>
        </w:rPr>
        <w:t>,</w:t>
      </w:r>
      <w:r w:rsidR="00F448C6" w:rsidRPr="00F448C6">
        <w:rPr>
          <w:rFonts w:ascii="Calibri" w:eastAsia="Times New Roman" w:hAnsi="Calibri" w:cs="Times New Roman"/>
          <w:snapToGrid w:val="0"/>
          <w:color w:val="000000"/>
        </w:rPr>
        <w:t xml:space="preserve"> or designee</w:t>
      </w:r>
      <w:r w:rsidR="001C1977">
        <w:rPr>
          <w:rFonts w:ascii="Calibri" w:eastAsia="Times New Roman" w:hAnsi="Calibri" w:cs="Times New Roman"/>
          <w:snapToGrid w:val="0"/>
          <w:color w:val="000000"/>
        </w:rPr>
        <w:t xml:space="preserve">. </w:t>
      </w:r>
    </w:p>
    <w:p w14:paraId="1BBFF5B9" w14:textId="195546FE" w:rsidR="00C22160" w:rsidRPr="00FA1A48" w:rsidRDefault="008F6146" w:rsidP="00FA1A48">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sidRPr="00FA1A48">
        <w:rPr>
          <w:rFonts w:ascii="Calibri" w:eastAsia="Times New Roman" w:hAnsi="Calibri" w:cs="Times New Roman"/>
          <w:snapToGrid w:val="0"/>
          <w:color w:val="000000"/>
        </w:rPr>
        <w:t>Include the use of external publicly available data sources that provide information on a</w:t>
      </w:r>
      <w:r w:rsidR="00D616C1" w:rsidRPr="00FA1A48">
        <w:rPr>
          <w:rFonts w:ascii="Calibri" w:eastAsia="Times New Roman" w:hAnsi="Calibri" w:cs="Times New Roman"/>
          <w:snapToGrid w:val="0"/>
          <w:color w:val="000000"/>
        </w:rPr>
        <w:t>n individual’s</w:t>
      </w:r>
      <w:r w:rsidRPr="00FA1A48">
        <w:rPr>
          <w:rFonts w:ascii="Calibri" w:eastAsia="Times New Roman" w:hAnsi="Calibri" w:cs="Times New Roman"/>
          <w:snapToGrid w:val="0"/>
          <w:color w:val="000000"/>
        </w:rPr>
        <w:t xml:space="preserve"> or LAR’s ability to pay.</w:t>
      </w:r>
    </w:p>
    <w:p w14:paraId="2E427075" w14:textId="0B37D5E8" w:rsidR="00C22160" w:rsidRPr="00FA1A48" w:rsidRDefault="008F6146" w:rsidP="00FA1A48">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sidRPr="00FA1A48">
        <w:rPr>
          <w:rFonts w:ascii="Calibri" w:eastAsia="Times New Roman" w:hAnsi="Calibri" w:cs="Times New Roman"/>
          <w:snapToGrid w:val="0"/>
          <w:color w:val="000000"/>
        </w:rPr>
        <w:t xml:space="preserve">Include reasonable efforts by </w:t>
      </w:r>
      <w:r w:rsidR="00B265FE">
        <w:rPr>
          <w:rFonts w:ascii="Calibri" w:eastAsia="Times New Roman" w:hAnsi="Calibri" w:cs="Times New Roman"/>
          <w:snapToGrid w:val="0"/>
          <w:color w:val="000000"/>
        </w:rPr>
        <w:t>BTCS</w:t>
      </w:r>
      <w:r w:rsidRPr="00FA1A48">
        <w:rPr>
          <w:rFonts w:ascii="Calibri" w:eastAsia="Times New Roman" w:hAnsi="Calibri" w:cs="Times New Roman"/>
          <w:snapToGrid w:val="0"/>
          <w:color w:val="000000"/>
        </w:rPr>
        <w:t xml:space="preserve"> to explore appropriate alternative sources of payment and coverage from public and private payment programs</w:t>
      </w:r>
      <w:r w:rsidR="00063889">
        <w:rPr>
          <w:rFonts w:ascii="Calibri" w:eastAsia="Times New Roman" w:hAnsi="Calibri" w:cs="Times New Roman"/>
          <w:snapToGrid w:val="0"/>
          <w:color w:val="000000"/>
        </w:rPr>
        <w:t xml:space="preserve"> </w:t>
      </w:r>
      <w:r w:rsidRPr="00FA1A48">
        <w:rPr>
          <w:rFonts w:ascii="Calibri" w:eastAsia="Times New Roman" w:hAnsi="Calibri" w:cs="Times New Roman"/>
          <w:snapToGrid w:val="0"/>
          <w:color w:val="000000"/>
        </w:rPr>
        <w:t xml:space="preserve">and assist </w:t>
      </w:r>
      <w:r w:rsidR="00D616C1" w:rsidRPr="00FA1A48">
        <w:rPr>
          <w:rFonts w:ascii="Calibri" w:eastAsia="Times New Roman" w:hAnsi="Calibri" w:cs="Times New Roman"/>
          <w:snapToGrid w:val="0"/>
          <w:color w:val="000000"/>
        </w:rPr>
        <w:t>individuals</w:t>
      </w:r>
      <w:r w:rsidRPr="00FA1A48">
        <w:rPr>
          <w:rFonts w:ascii="Calibri" w:eastAsia="Times New Roman" w:hAnsi="Calibri" w:cs="Times New Roman"/>
          <w:snapToGrid w:val="0"/>
          <w:color w:val="000000"/>
        </w:rPr>
        <w:t xml:space="preserve"> </w:t>
      </w:r>
      <w:r w:rsidR="00063889">
        <w:rPr>
          <w:rFonts w:ascii="Calibri" w:eastAsia="Times New Roman" w:hAnsi="Calibri" w:cs="Times New Roman"/>
          <w:snapToGrid w:val="0"/>
          <w:color w:val="000000"/>
        </w:rPr>
        <w:t>applying</w:t>
      </w:r>
      <w:r w:rsidRPr="00FA1A48">
        <w:rPr>
          <w:rFonts w:ascii="Calibri" w:eastAsia="Times New Roman" w:hAnsi="Calibri" w:cs="Times New Roman"/>
          <w:snapToGrid w:val="0"/>
          <w:color w:val="000000"/>
        </w:rPr>
        <w:t xml:space="preserve"> for such programs.</w:t>
      </w:r>
    </w:p>
    <w:p w14:paraId="63B52C3B" w14:textId="0858B8EB" w:rsidR="00C22160" w:rsidRPr="00FA1A48" w:rsidRDefault="008F6146" w:rsidP="00063889">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sidRPr="00FA1A48">
        <w:rPr>
          <w:rFonts w:ascii="Calibri" w:eastAsia="Times New Roman" w:hAnsi="Calibri" w:cs="Times New Roman"/>
          <w:snapToGrid w:val="0"/>
          <w:color w:val="000000"/>
        </w:rPr>
        <w:t xml:space="preserve">Consider the </w:t>
      </w:r>
      <w:r w:rsidR="00D616C1" w:rsidRPr="00FA1A48">
        <w:rPr>
          <w:rFonts w:ascii="Calibri" w:eastAsia="Times New Roman" w:hAnsi="Calibri" w:cs="Times New Roman"/>
          <w:snapToGrid w:val="0"/>
          <w:color w:val="000000"/>
        </w:rPr>
        <w:t>individual</w:t>
      </w:r>
      <w:r w:rsidRPr="00FA1A48">
        <w:rPr>
          <w:rFonts w:ascii="Calibri" w:eastAsia="Times New Roman" w:hAnsi="Calibri" w:cs="Times New Roman"/>
          <w:snapToGrid w:val="0"/>
          <w:color w:val="000000"/>
        </w:rPr>
        <w:t>’s available assets and all other</w:t>
      </w:r>
      <w:r w:rsidR="00063889">
        <w:rPr>
          <w:rFonts w:ascii="Calibri" w:eastAsia="Times New Roman" w:hAnsi="Calibri" w:cs="Times New Roman"/>
          <w:snapToGrid w:val="0"/>
          <w:color w:val="000000"/>
        </w:rPr>
        <w:t xml:space="preserve"> </w:t>
      </w:r>
      <w:r w:rsidRPr="00FA1A48">
        <w:rPr>
          <w:rFonts w:ascii="Calibri" w:eastAsia="Times New Roman" w:hAnsi="Calibri" w:cs="Times New Roman"/>
          <w:snapToGrid w:val="0"/>
          <w:color w:val="000000"/>
        </w:rPr>
        <w:t>financial</w:t>
      </w:r>
      <w:r w:rsidR="00D616C1" w:rsidRPr="00FA1A48">
        <w:rPr>
          <w:rFonts w:ascii="Calibri" w:eastAsia="Times New Roman" w:hAnsi="Calibri" w:cs="Times New Roman"/>
          <w:snapToGrid w:val="0"/>
          <w:color w:val="000000"/>
        </w:rPr>
        <w:t xml:space="preserve"> </w:t>
      </w:r>
      <w:r w:rsidRPr="00FA1A48">
        <w:rPr>
          <w:rFonts w:ascii="Calibri" w:eastAsia="Times New Roman" w:hAnsi="Calibri" w:cs="Times New Roman"/>
          <w:snapToGrid w:val="0"/>
          <w:color w:val="000000"/>
        </w:rPr>
        <w:t xml:space="preserve">resources available to the </w:t>
      </w:r>
      <w:r w:rsidR="00445537" w:rsidRPr="00FA1A48">
        <w:rPr>
          <w:rFonts w:ascii="Calibri" w:eastAsia="Times New Roman" w:hAnsi="Calibri" w:cs="Times New Roman"/>
          <w:snapToGrid w:val="0"/>
          <w:color w:val="000000"/>
        </w:rPr>
        <w:t>individual</w:t>
      </w:r>
      <w:r w:rsidRPr="00FA1A48">
        <w:rPr>
          <w:rFonts w:ascii="Calibri" w:eastAsia="Times New Roman" w:hAnsi="Calibri" w:cs="Times New Roman"/>
          <w:snapToGrid w:val="0"/>
          <w:color w:val="000000"/>
        </w:rPr>
        <w:t>.</w:t>
      </w:r>
    </w:p>
    <w:p w14:paraId="386EAF85" w14:textId="73B23E5C" w:rsidR="00C22160" w:rsidRPr="00FA1A48" w:rsidRDefault="008F6146" w:rsidP="00FA1A48">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sidRPr="00FA1A48">
        <w:rPr>
          <w:rFonts w:ascii="Calibri" w:eastAsia="Times New Roman" w:hAnsi="Calibri" w:cs="Times New Roman"/>
          <w:snapToGrid w:val="0"/>
          <w:color w:val="000000"/>
        </w:rPr>
        <w:t xml:space="preserve">Include a review of the </w:t>
      </w:r>
      <w:r w:rsidR="00445537" w:rsidRPr="00FA1A48">
        <w:rPr>
          <w:rFonts w:ascii="Calibri" w:eastAsia="Times New Roman" w:hAnsi="Calibri" w:cs="Times New Roman"/>
          <w:snapToGrid w:val="0"/>
          <w:color w:val="000000"/>
        </w:rPr>
        <w:t>individual</w:t>
      </w:r>
      <w:r w:rsidRPr="00FA1A48">
        <w:rPr>
          <w:rFonts w:ascii="Calibri" w:eastAsia="Times New Roman" w:hAnsi="Calibri" w:cs="Times New Roman"/>
          <w:snapToGrid w:val="0"/>
          <w:color w:val="000000"/>
        </w:rPr>
        <w:t xml:space="preserve">’s outstanding accounts receivable for prior services rendered and the </w:t>
      </w:r>
      <w:r w:rsidR="00445537" w:rsidRPr="00FA1A48">
        <w:rPr>
          <w:rFonts w:ascii="Calibri" w:eastAsia="Times New Roman" w:hAnsi="Calibri" w:cs="Times New Roman"/>
          <w:snapToGrid w:val="0"/>
          <w:color w:val="000000"/>
        </w:rPr>
        <w:t>individual</w:t>
      </w:r>
      <w:r w:rsidRPr="00FA1A48">
        <w:rPr>
          <w:rFonts w:ascii="Calibri" w:eastAsia="Times New Roman" w:hAnsi="Calibri" w:cs="Times New Roman"/>
          <w:snapToGrid w:val="0"/>
          <w:color w:val="000000"/>
        </w:rPr>
        <w:t>’s payment history.</w:t>
      </w:r>
    </w:p>
    <w:p w14:paraId="6358B40C" w14:textId="63EE001C" w:rsidR="00C22160" w:rsidRPr="00392E57" w:rsidRDefault="008F6146" w:rsidP="00392E57">
      <w:pPr>
        <w:pStyle w:val="ListParagraph"/>
        <w:widowControl/>
        <w:numPr>
          <w:ilvl w:val="1"/>
          <w:numId w:val="6"/>
        </w:numPr>
        <w:adjustRightInd w:val="0"/>
        <w:ind w:left="1080" w:hanging="360"/>
        <w:contextualSpacing/>
        <w:rPr>
          <w:rFonts w:ascii="Calibri" w:eastAsia="Times New Roman" w:hAnsi="Calibri" w:cs="Times New Roman"/>
          <w:snapToGrid w:val="0"/>
          <w:color w:val="000000"/>
        </w:rPr>
      </w:pPr>
      <w:r w:rsidRPr="00392E57">
        <w:rPr>
          <w:rFonts w:ascii="Calibri" w:eastAsia="Times New Roman" w:hAnsi="Calibri" w:cs="Times New Roman"/>
          <w:snapToGrid w:val="0"/>
          <w:color w:val="000000"/>
        </w:rPr>
        <w:t xml:space="preserve">A request or assessment for charity care and a determination of financial need </w:t>
      </w:r>
      <w:r w:rsidR="00727E0F">
        <w:rPr>
          <w:rFonts w:ascii="Calibri" w:eastAsia="Times New Roman" w:hAnsi="Calibri" w:cs="Times New Roman"/>
          <w:snapToGrid w:val="0"/>
          <w:color w:val="000000"/>
        </w:rPr>
        <w:t>may be completed</w:t>
      </w:r>
      <w:r w:rsidRPr="00392E57">
        <w:rPr>
          <w:rFonts w:ascii="Calibri" w:eastAsia="Times New Roman" w:hAnsi="Calibri" w:cs="Times New Roman"/>
          <w:snapToGrid w:val="0"/>
          <w:color w:val="000000"/>
        </w:rPr>
        <w:t xml:space="preserve"> at any point in the collection cycle but is preferred to be completed within the first 30 days of treatment. The need for financial assistance is re-evaluated annually and whenever a significant change has occurred which affects the </w:t>
      </w:r>
      <w:r w:rsidR="002907FF" w:rsidRPr="00392E57">
        <w:rPr>
          <w:rFonts w:ascii="Calibri" w:eastAsia="Times New Roman" w:hAnsi="Calibri" w:cs="Times New Roman"/>
          <w:snapToGrid w:val="0"/>
          <w:color w:val="000000"/>
        </w:rPr>
        <w:t>individual’s</w:t>
      </w:r>
      <w:r w:rsidRPr="00392E57">
        <w:rPr>
          <w:rFonts w:ascii="Calibri" w:eastAsia="Times New Roman" w:hAnsi="Calibri" w:cs="Times New Roman"/>
          <w:snapToGrid w:val="0"/>
          <w:color w:val="000000"/>
        </w:rPr>
        <w:t xml:space="preserve"> or LAR’s eligibility for charity care.</w:t>
      </w:r>
    </w:p>
    <w:p w14:paraId="6AA75DBE" w14:textId="2DE9DB17" w:rsidR="00C22160" w:rsidRPr="00392E57" w:rsidRDefault="008F6146" w:rsidP="00EF5F6B">
      <w:pPr>
        <w:pStyle w:val="ListParagraph"/>
        <w:widowControl/>
        <w:numPr>
          <w:ilvl w:val="1"/>
          <w:numId w:val="6"/>
        </w:numPr>
        <w:adjustRightInd w:val="0"/>
        <w:ind w:left="1080" w:hanging="360"/>
        <w:contextualSpacing/>
        <w:rPr>
          <w:rFonts w:ascii="Calibri" w:eastAsia="Times New Roman" w:hAnsi="Calibri" w:cs="Times New Roman"/>
          <w:snapToGrid w:val="0"/>
          <w:color w:val="000000"/>
        </w:rPr>
      </w:pPr>
      <w:r w:rsidRPr="00392E57">
        <w:rPr>
          <w:rFonts w:ascii="Calibri" w:eastAsia="Times New Roman" w:hAnsi="Calibri" w:cs="Times New Roman"/>
          <w:snapToGrid w:val="0"/>
          <w:color w:val="000000"/>
        </w:rPr>
        <w:t xml:space="preserve">Requests for charity care shall be processed promptly with notification to the </w:t>
      </w:r>
      <w:r w:rsidR="00445537" w:rsidRPr="00392E57">
        <w:rPr>
          <w:rFonts w:ascii="Calibri" w:eastAsia="Times New Roman" w:hAnsi="Calibri" w:cs="Times New Roman"/>
          <w:snapToGrid w:val="0"/>
          <w:color w:val="000000"/>
        </w:rPr>
        <w:t>individual</w:t>
      </w:r>
      <w:r w:rsidRPr="00392E57">
        <w:rPr>
          <w:rFonts w:ascii="Calibri" w:eastAsia="Times New Roman" w:hAnsi="Calibri" w:cs="Times New Roman"/>
          <w:snapToGrid w:val="0"/>
          <w:color w:val="000000"/>
        </w:rPr>
        <w:t xml:space="preserve"> or LAR in writing within 30 days of receipt of a completed application or assessment.</w:t>
      </w:r>
    </w:p>
    <w:p w14:paraId="22385D97" w14:textId="691A0D45" w:rsidR="00D73405" w:rsidRPr="00D73405" w:rsidRDefault="008F6146" w:rsidP="00D73405">
      <w:pPr>
        <w:pStyle w:val="ListParagraph"/>
        <w:widowControl/>
        <w:numPr>
          <w:ilvl w:val="0"/>
          <w:numId w:val="6"/>
        </w:numPr>
        <w:adjustRightInd w:val="0"/>
        <w:ind w:left="720" w:hanging="360"/>
        <w:contextualSpacing/>
        <w:jc w:val="left"/>
        <w:rPr>
          <w:rFonts w:ascii="Calibri" w:eastAsia="Times New Roman" w:hAnsi="Calibri" w:cs="Times New Roman"/>
          <w:snapToGrid w:val="0"/>
          <w:color w:val="000000"/>
        </w:rPr>
      </w:pPr>
      <w:r w:rsidRPr="00D73405">
        <w:rPr>
          <w:rFonts w:ascii="Calibri" w:eastAsia="Times New Roman" w:hAnsi="Calibri" w:cs="Times New Roman"/>
          <w:snapToGrid w:val="0"/>
          <w:color w:val="000000"/>
        </w:rPr>
        <w:t>Presumptive Financial Assistance Eligibility</w:t>
      </w:r>
    </w:p>
    <w:p w14:paraId="04B3DB32" w14:textId="2729B7FD" w:rsidR="00E26AEA" w:rsidRPr="00E66B3A" w:rsidRDefault="008F6146" w:rsidP="00392E57">
      <w:pPr>
        <w:pStyle w:val="ListParagraph"/>
        <w:widowControl/>
        <w:numPr>
          <w:ilvl w:val="1"/>
          <w:numId w:val="6"/>
        </w:numPr>
        <w:adjustRightInd w:val="0"/>
        <w:ind w:left="1080" w:hanging="360"/>
        <w:contextualSpacing/>
        <w:rPr>
          <w:rFonts w:ascii="Calibri" w:eastAsia="Times New Roman" w:hAnsi="Calibri" w:cs="Times New Roman"/>
          <w:snapToGrid w:val="0"/>
          <w:color w:val="000000"/>
        </w:rPr>
      </w:pPr>
      <w:r w:rsidRPr="00392E57">
        <w:rPr>
          <w:rFonts w:ascii="Calibri" w:eastAsia="Times New Roman" w:hAnsi="Calibri" w:cs="Times New Roman"/>
          <w:snapToGrid w:val="0"/>
          <w:color w:val="000000"/>
        </w:rPr>
        <w:t>There are instances when a</w:t>
      </w:r>
      <w:r w:rsidR="00445537" w:rsidRPr="00392E57">
        <w:rPr>
          <w:rFonts w:ascii="Calibri" w:eastAsia="Times New Roman" w:hAnsi="Calibri" w:cs="Times New Roman"/>
          <w:snapToGrid w:val="0"/>
          <w:color w:val="000000"/>
        </w:rPr>
        <w:t>n individual</w:t>
      </w:r>
      <w:r w:rsidRPr="00392E57">
        <w:rPr>
          <w:rFonts w:ascii="Calibri" w:eastAsia="Times New Roman" w:hAnsi="Calibri" w:cs="Times New Roman"/>
          <w:snapToGrid w:val="0"/>
          <w:color w:val="000000"/>
        </w:rPr>
        <w:t xml:space="preserve"> may appear eligible for charity care discounts, but there is no financial assistance form on file due to a lack of supporting documentation. Often there is adequate information provided by the </w:t>
      </w:r>
      <w:r w:rsidR="00445537" w:rsidRPr="00392E57">
        <w:rPr>
          <w:rFonts w:ascii="Calibri" w:eastAsia="Times New Roman" w:hAnsi="Calibri" w:cs="Times New Roman"/>
          <w:snapToGrid w:val="0"/>
          <w:color w:val="000000"/>
        </w:rPr>
        <w:t>individual</w:t>
      </w:r>
      <w:r w:rsidRPr="00392E57">
        <w:rPr>
          <w:rFonts w:ascii="Calibri" w:eastAsia="Times New Roman" w:hAnsi="Calibri" w:cs="Times New Roman"/>
          <w:snapToGrid w:val="0"/>
          <w:color w:val="000000"/>
        </w:rPr>
        <w:t xml:space="preserve"> served or through other sources, which provide sufficient evidence to provide the </w:t>
      </w:r>
      <w:r w:rsidR="00445537" w:rsidRPr="00392E57">
        <w:rPr>
          <w:rFonts w:ascii="Calibri" w:eastAsia="Times New Roman" w:hAnsi="Calibri" w:cs="Times New Roman"/>
          <w:snapToGrid w:val="0"/>
          <w:color w:val="000000"/>
        </w:rPr>
        <w:t>individual</w:t>
      </w:r>
      <w:r w:rsidRPr="00392E57">
        <w:rPr>
          <w:rFonts w:ascii="Calibri" w:eastAsia="Times New Roman" w:hAnsi="Calibri" w:cs="Times New Roman"/>
          <w:snapToGrid w:val="0"/>
          <w:color w:val="000000"/>
        </w:rPr>
        <w:t xml:space="preserve"> with charity care assistance. In the event there is no evidence to support a</w:t>
      </w:r>
      <w:r w:rsidR="00445537" w:rsidRPr="00392E57">
        <w:rPr>
          <w:rFonts w:ascii="Calibri" w:eastAsia="Times New Roman" w:hAnsi="Calibri" w:cs="Times New Roman"/>
          <w:snapToGrid w:val="0"/>
          <w:color w:val="000000"/>
        </w:rPr>
        <w:t xml:space="preserve">n individual’s </w:t>
      </w:r>
      <w:r w:rsidRPr="00392E57">
        <w:rPr>
          <w:rFonts w:ascii="Calibri" w:eastAsia="Times New Roman" w:hAnsi="Calibri" w:cs="Times New Roman"/>
          <w:snapToGrid w:val="0"/>
          <w:color w:val="000000"/>
        </w:rPr>
        <w:t xml:space="preserve">eligibility for charity care, </w:t>
      </w:r>
      <w:r w:rsidR="00B265FE">
        <w:rPr>
          <w:rFonts w:ascii="Calibri" w:eastAsia="Times New Roman" w:hAnsi="Calibri" w:cs="Times New Roman"/>
          <w:snapToGrid w:val="0"/>
          <w:color w:val="000000"/>
        </w:rPr>
        <w:t>BTCS</w:t>
      </w:r>
      <w:r w:rsidRPr="00392E57">
        <w:rPr>
          <w:rFonts w:ascii="Calibri" w:eastAsia="Times New Roman" w:hAnsi="Calibri" w:cs="Times New Roman"/>
          <w:snapToGrid w:val="0"/>
          <w:color w:val="000000"/>
        </w:rPr>
        <w:t xml:space="preserve"> can use outside agencies in determining estimated income amounts for the basis of determining charity care eligibility and potential discount amounts. Once determined, due to the inherent nature of the presumptive circumstances, the only discount that can be </w:t>
      </w:r>
      <w:r w:rsidRPr="00E66B3A">
        <w:rPr>
          <w:rFonts w:ascii="Calibri" w:eastAsia="Times New Roman" w:hAnsi="Calibri" w:cs="Times New Roman"/>
          <w:snapToGrid w:val="0"/>
          <w:color w:val="000000"/>
        </w:rPr>
        <w:t xml:space="preserve">granted is a 100% write-off of the account balance. </w:t>
      </w:r>
    </w:p>
    <w:p w14:paraId="31C42C7F" w14:textId="52AAFCDF" w:rsidR="00C22160" w:rsidRPr="00E66B3A" w:rsidRDefault="008F6146" w:rsidP="00392E57">
      <w:pPr>
        <w:pStyle w:val="ListParagraph"/>
        <w:widowControl/>
        <w:numPr>
          <w:ilvl w:val="1"/>
          <w:numId w:val="6"/>
        </w:numPr>
        <w:adjustRightInd w:val="0"/>
        <w:ind w:left="1080" w:hanging="360"/>
        <w:contextualSpacing/>
        <w:rPr>
          <w:rFonts w:ascii="Calibri" w:eastAsia="Times New Roman" w:hAnsi="Calibri" w:cs="Times New Roman"/>
          <w:snapToGrid w:val="0"/>
          <w:color w:val="000000"/>
        </w:rPr>
      </w:pPr>
      <w:r w:rsidRPr="00E66B3A">
        <w:rPr>
          <w:rFonts w:ascii="Calibri" w:eastAsia="Times New Roman" w:hAnsi="Calibri" w:cs="Times New Roman"/>
          <w:snapToGrid w:val="0"/>
          <w:color w:val="000000"/>
        </w:rPr>
        <w:t>Presumptive eligibility may be determined based on individual life circumstances that may include:</w:t>
      </w:r>
    </w:p>
    <w:p w14:paraId="4DEBE23F" w14:textId="2CD991D5" w:rsidR="00C22160" w:rsidRPr="00E66B3A" w:rsidRDefault="008F6146" w:rsidP="00392E57">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sidRPr="00E66B3A">
        <w:rPr>
          <w:rFonts w:ascii="Calibri" w:eastAsia="Times New Roman" w:hAnsi="Calibri" w:cs="Times New Roman"/>
          <w:snapToGrid w:val="0"/>
          <w:color w:val="000000"/>
        </w:rPr>
        <w:t>State-funded prescription programs</w:t>
      </w:r>
      <w:r w:rsidR="004F3AB6">
        <w:rPr>
          <w:rFonts w:ascii="Calibri" w:eastAsia="Times New Roman" w:hAnsi="Calibri" w:cs="Times New Roman"/>
          <w:snapToGrid w:val="0"/>
          <w:color w:val="000000"/>
        </w:rPr>
        <w:t>;</w:t>
      </w:r>
    </w:p>
    <w:p w14:paraId="0A3FBD32" w14:textId="220427B9" w:rsidR="00C22160" w:rsidRPr="00E66B3A" w:rsidRDefault="008F6146" w:rsidP="00392E57">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sidRPr="00E66B3A">
        <w:rPr>
          <w:rFonts w:ascii="Calibri" w:eastAsia="Times New Roman" w:hAnsi="Calibri" w:cs="Times New Roman"/>
          <w:snapToGrid w:val="0"/>
          <w:color w:val="000000"/>
        </w:rPr>
        <w:lastRenderedPageBreak/>
        <w:t>Homeless or received care from a homeless clinic</w:t>
      </w:r>
      <w:r w:rsidR="004F3AB6">
        <w:rPr>
          <w:rFonts w:ascii="Calibri" w:eastAsia="Times New Roman" w:hAnsi="Calibri" w:cs="Times New Roman"/>
          <w:snapToGrid w:val="0"/>
          <w:color w:val="000000"/>
        </w:rPr>
        <w:t>;</w:t>
      </w:r>
    </w:p>
    <w:p w14:paraId="4A49D193" w14:textId="57BB0872" w:rsidR="00C22160" w:rsidRPr="00E66B3A" w:rsidRDefault="008F6146" w:rsidP="00392E57">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sidRPr="00E66B3A">
        <w:rPr>
          <w:rFonts w:ascii="Calibri" w:eastAsia="Times New Roman" w:hAnsi="Calibri" w:cs="Times New Roman"/>
          <w:snapToGrid w:val="0"/>
          <w:color w:val="000000"/>
        </w:rPr>
        <w:t>Participation in Women, Infants and Children programs (WIC)</w:t>
      </w:r>
      <w:r w:rsidR="004F3AB6">
        <w:rPr>
          <w:rFonts w:ascii="Calibri" w:eastAsia="Times New Roman" w:hAnsi="Calibri" w:cs="Times New Roman"/>
          <w:snapToGrid w:val="0"/>
          <w:color w:val="000000"/>
        </w:rPr>
        <w:t>;</w:t>
      </w:r>
    </w:p>
    <w:p w14:paraId="0CF9C6E7" w14:textId="54209692" w:rsidR="00C22160" w:rsidRPr="00E66B3A" w:rsidRDefault="008F6146" w:rsidP="00392E57">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sidRPr="00E66B3A">
        <w:rPr>
          <w:rFonts w:ascii="Calibri" w:eastAsia="Times New Roman" w:hAnsi="Calibri" w:cs="Times New Roman"/>
          <w:snapToGrid w:val="0"/>
          <w:color w:val="000000"/>
        </w:rPr>
        <w:t>Food stamp eligibility</w:t>
      </w:r>
      <w:r w:rsidR="004F3AB6">
        <w:rPr>
          <w:rFonts w:ascii="Calibri" w:eastAsia="Times New Roman" w:hAnsi="Calibri" w:cs="Times New Roman"/>
          <w:snapToGrid w:val="0"/>
          <w:color w:val="000000"/>
        </w:rPr>
        <w:t>;</w:t>
      </w:r>
    </w:p>
    <w:p w14:paraId="65503EDE" w14:textId="25D8749C" w:rsidR="00C22160" w:rsidRPr="00E66B3A" w:rsidRDefault="008F6146" w:rsidP="00392E57">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sidRPr="00E66B3A">
        <w:rPr>
          <w:rFonts w:ascii="Calibri" w:eastAsia="Times New Roman" w:hAnsi="Calibri" w:cs="Times New Roman"/>
          <w:snapToGrid w:val="0"/>
          <w:color w:val="000000"/>
        </w:rPr>
        <w:t>Subsidized school lunch program eligibility</w:t>
      </w:r>
      <w:r w:rsidR="004F3AB6">
        <w:rPr>
          <w:rFonts w:ascii="Calibri" w:eastAsia="Times New Roman" w:hAnsi="Calibri" w:cs="Times New Roman"/>
          <w:snapToGrid w:val="0"/>
          <w:color w:val="000000"/>
        </w:rPr>
        <w:t>;</w:t>
      </w:r>
    </w:p>
    <w:p w14:paraId="5288B845" w14:textId="278A922C" w:rsidR="00C22160" w:rsidRPr="00E66B3A" w:rsidRDefault="008F6146" w:rsidP="00392E57">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sidRPr="00E66B3A">
        <w:rPr>
          <w:rFonts w:ascii="Calibri" w:eastAsia="Times New Roman" w:hAnsi="Calibri" w:cs="Times New Roman"/>
          <w:snapToGrid w:val="0"/>
          <w:color w:val="000000"/>
        </w:rPr>
        <w:t>Eligibility for other state or local assistance programs that are unfunded (e.g., Medicaid spend-down)</w:t>
      </w:r>
      <w:r w:rsidR="00E05F68">
        <w:rPr>
          <w:rFonts w:ascii="Calibri" w:eastAsia="Times New Roman" w:hAnsi="Calibri" w:cs="Times New Roman"/>
          <w:snapToGrid w:val="0"/>
          <w:color w:val="000000"/>
        </w:rPr>
        <w:t>;</w:t>
      </w:r>
    </w:p>
    <w:p w14:paraId="6211FEF0" w14:textId="3C871FB8" w:rsidR="00C22160" w:rsidRPr="00E66B3A" w:rsidRDefault="00727E0F" w:rsidP="00392E57">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Pr>
          <w:rFonts w:ascii="Calibri" w:eastAsia="Times New Roman" w:hAnsi="Calibri" w:cs="Times New Roman"/>
          <w:snapToGrid w:val="0"/>
          <w:color w:val="000000"/>
        </w:rPr>
        <w:t>A l</w:t>
      </w:r>
      <w:r w:rsidRPr="00E66B3A">
        <w:rPr>
          <w:rFonts w:ascii="Calibri" w:eastAsia="Times New Roman" w:hAnsi="Calibri" w:cs="Times New Roman"/>
          <w:snapToGrid w:val="0"/>
          <w:color w:val="000000"/>
        </w:rPr>
        <w:t xml:space="preserve">ow </w:t>
      </w:r>
      <w:r w:rsidR="008F6146" w:rsidRPr="00E66B3A">
        <w:rPr>
          <w:rFonts w:ascii="Calibri" w:eastAsia="Times New Roman" w:hAnsi="Calibri" w:cs="Times New Roman"/>
          <w:snapToGrid w:val="0"/>
          <w:color w:val="000000"/>
        </w:rPr>
        <w:t>income/subsidized housing</w:t>
      </w:r>
      <w:r>
        <w:rPr>
          <w:rFonts w:ascii="Calibri" w:eastAsia="Times New Roman" w:hAnsi="Calibri" w:cs="Times New Roman"/>
          <w:snapToGrid w:val="0"/>
          <w:color w:val="000000"/>
        </w:rPr>
        <w:t xml:space="preserve"> location</w:t>
      </w:r>
      <w:r w:rsidR="008F6146" w:rsidRPr="00E66B3A">
        <w:rPr>
          <w:rFonts w:ascii="Calibri" w:eastAsia="Times New Roman" w:hAnsi="Calibri" w:cs="Times New Roman"/>
          <w:snapToGrid w:val="0"/>
          <w:color w:val="000000"/>
        </w:rPr>
        <w:t xml:space="preserve"> is provided as a valid address; and</w:t>
      </w:r>
    </w:p>
    <w:p w14:paraId="0913CF93" w14:textId="6AEB0C7D" w:rsidR="00C22160" w:rsidRPr="00E66B3A" w:rsidRDefault="00445537" w:rsidP="00EF5F6B">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sidRPr="00E66B3A">
        <w:rPr>
          <w:rFonts w:ascii="Calibri" w:eastAsia="Times New Roman" w:hAnsi="Calibri" w:cs="Times New Roman"/>
          <w:snapToGrid w:val="0"/>
          <w:color w:val="000000"/>
        </w:rPr>
        <w:t>Individual</w:t>
      </w:r>
      <w:r w:rsidR="008F6146" w:rsidRPr="00E66B3A">
        <w:rPr>
          <w:rFonts w:ascii="Calibri" w:eastAsia="Times New Roman" w:hAnsi="Calibri" w:cs="Times New Roman"/>
          <w:snapToGrid w:val="0"/>
          <w:color w:val="000000"/>
        </w:rPr>
        <w:t xml:space="preserve"> is deceased with no known estate.</w:t>
      </w:r>
    </w:p>
    <w:p w14:paraId="7C31866F" w14:textId="68F1CA1F" w:rsidR="00D73405" w:rsidRPr="00D73405" w:rsidRDefault="008F6146" w:rsidP="00D73405">
      <w:pPr>
        <w:pStyle w:val="ListParagraph"/>
        <w:widowControl/>
        <w:numPr>
          <w:ilvl w:val="0"/>
          <w:numId w:val="6"/>
        </w:numPr>
        <w:adjustRightInd w:val="0"/>
        <w:ind w:left="720" w:hanging="360"/>
        <w:contextualSpacing/>
        <w:jc w:val="left"/>
        <w:rPr>
          <w:rFonts w:ascii="Calibri" w:eastAsia="Times New Roman" w:hAnsi="Calibri" w:cs="Times New Roman"/>
          <w:snapToGrid w:val="0"/>
          <w:color w:val="000000"/>
        </w:rPr>
      </w:pPr>
      <w:r w:rsidRPr="00D73405">
        <w:rPr>
          <w:rFonts w:ascii="Calibri" w:eastAsia="Times New Roman" w:hAnsi="Calibri" w:cs="Times New Roman"/>
          <w:snapToGrid w:val="0"/>
          <w:color w:val="000000"/>
        </w:rPr>
        <w:t xml:space="preserve">Eligibility Criteria and Amounts Charged to </w:t>
      </w:r>
      <w:r w:rsidR="00445537" w:rsidRPr="00D73405">
        <w:rPr>
          <w:rFonts w:ascii="Calibri" w:eastAsia="Times New Roman" w:hAnsi="Calibri" w:cs="Times New Roman"/>
          <w:snapToGrid w:val="0"/>
          <w:color w:val="000000"/>
        </w:rPr>
        <w:t>Individuals Served</w:t>
      </w:r>
      <w:r w:rsidRPr="00D73405">
        <w:rPr>
          <w:rFonts w:ascii="Calibri" w:eastAsia="Times New Roman" w:hAnsi="Calibri" w:cs="Times New Roman"/>
          <w:snapToGrid w:val="0"/>
          <w:color w:val="000000"/>
        </w:rPr>
        <w:t xml:space="preserve"> </w:t>
      </w:r>
    </w:p>
    <w:p w14:paraId="30504DD0" w14:textId="77777777" w:rsidR="001568AD" w:rsidRDefault="008F6146" w:rsidP="001568AD">
      <w:pPr>
        <w:pStyle w:val="ListParagraph"/>
        <w:widowControl/>
        <w:numPr>
          <w:ilvl w:val="0"/>
          <w:numId w:val="7"/>
        </w:numPr>
        <w:adjustRightInd w:val="0"/>
        <w:ind w:left="1080"/>
        <w:contextualSpacing/>
        <w:jc w:val="left"/>
        <w:rPr>
          <w:rFonts w:ascii="Calibri" w:eastAsia="Times New Roman" w:hAnsi="Calibri" w:cs="Times New Roman"/>
          <w:snapToGrid w:val="0"/>
          <w:color w:val="000000"/>
        </w:rPr>
      </w:pPr>
      <w:r w:rsidRPr="001568AD">
        <w:rPr>
          <w:rFonts w:ascii="Calibri" w:eastAsia="Times New Roman" w:hAnsi="Calibri" w:cs="Times New Roman"/>
          <w:snapToGrid w:val="0"/>
          <w:color w:val="000000"/>
        </w:rPr>
        <w:t xml:space="preserve">Services eligible under this </w:t>
      </w:r>
      <w:r w:rsidR="00445537" w:rsidRPr="001568AD">
        <w:rPr>
          <w:rFonts w:ascii="Calibri" w:eastAsia="Times New Roman" w:hAnsi="Calibri" w:cs="Times New Roman"/>
          <w:snapToGrid w:val="0"/>
          <w:color w:val="000000"/>
        </w:rPr>
        <w:t>procedure</w:t>
      </w:r>
      <w:r w:rsidRPr="001568AD">
        <w:rPr>
          <w:rFonts w:ascii="Calibri" w:eastAsia="Times New Roman" w:hAnsi="Calibri" w:cs="Times New Roman"/>
          <w:snapToGrid w:val="0"/>
          <w:color w:val="000000"/>
        </w:rPr>
        <w:t xml:space="preserve"> are made available to </w:t>
      </w:r>
      <w:r w:rsidR="00445537" w:rsidRPr="001568AD">
        <w:rPr>
          <w:rFonts w:ascii="Calibri" w:eastAsia="Times New Roman" w:hAnsi="Calibri" w:cs="Times New Roman"/>
          <w:snapToGrid w:val="0"/>
          <w:color w:val="000000"/>
        </w:rPr>
        <w:t xml:space="preserve">individuals </w:t>
      </w:r>
      <w:r w:rsidRPr="001568AD">
        <w:rPr>
          <w:rFonts w:ascii="Calibri" w:eastAsia="Times New Roman" w:hAnsi="Calibri" w:cs="Times New Roman"/>
          <w:snapToGrid w:val="0"/>
          <w:color w:val="000000"/>
        </w:rPr>
        <w:t xml:space="preserve">on Sliding Scale Fee Schedules, in accordance with financial need, as determined in reference to Federal Poverty Levels (FPL) in effect at the time of the determination. </w:t>
      </w:r>
    </w:p>
    <w:p w14:paraId="52130807" w14:textId="0EBAFB5D" w:rsidR="00C22160" w:rsidRPr="001568AD" w:rsidRDefault="008F6146" w:rsidP="00EF5F6B">
      <w:pPr>
        <w:pStyle w:val="ListParagraph"/>
        <w:widowControl/>
        <w:numPr>
          <w:ilvl w:val="0"/>
          <w:numId w:val="7"/>
        </w:numPr>
        <w:adjustRightInd w:val="0"/>
        <w:ind w:left="1080"/>
        <w:contextualSpacing/>
        <w:jc w:val="left"/>
        <w:rPr>
          <w:rFonts w:ascii="Calibri" w:eastAsia="Times New Roman" w:hAnsi="Calibri" w:cs="Times New Roman"/>
          <w:snapToGrid w:val="0"/>
          <w:color w:val="000000"/>
        </w:rPr>
      </w:pPr>
      <w:r w:rsidRPr="001568AD">
        <w:rPr>
          <w:rFonts w:ascii="Calibri" w:eastAsia="Times New Roman" w:hAnsi="Calibri" w:cs="Times New Roman"/>
          <w:snapToGrid w:val="0"/>
          <w:color w:val="000000"/>
        </w:rPr>
        <w:t xml:space="preserve">The basis for the amounts charged to </w:t>
      </w:r>
      <w:r w:rsidR="00664EB6" w:rsidRPr="001568AD">
        <w:rPr>
          <w:rFonts w:ascii="Calibri" w:eastAsia="Times New Roman" w:hAnsi="Calibri" w:cs="Times New Roman"/>
          <w:snapToGrid w:val="0"/>
          <w:color w:val="000000"/>
        </w:rPr>
        <w:t>individual</w:t>
      </w:r>
      <w:r w:rsidRPr="001568AD">
        <w:rPr>
          <w:rFonts w:ascii="Calibri" w:eastAsia="Times New Roman" w:hAnsi="Calibri" w:cs="Times New Roman"/>
          <w:snapToGrid w:val="0"/>
          <w:color w:val="000000"/>
        </w:rPr>
        <w:t>s served who qualify for financial assistance is as follows:</w:t>
      </w:r>
    </w:p>
    <w:p w14:paraId="3F27D13B" w14:textId="094465F6" w:rsidR="00C22160" w:rsidRPr="001568AD" w:rsidRDefault="00664EB6" w:rsidP="001568AD">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sidRPr="001568AD">
        <w:rPr>
          <w:rFonts w:ascii="Calibri" w:eastAsia="Times New Roman" w:hAnsi="Calibri" w:cs="Times New Roman"/>
          <w:snapToGrid w:val="0"/>
          <w:color w:val="000000"/>
        </w:rPr>
        <w:t>Individuals</w:t>
      </w:r>
      <w:r w:rsidR="008F6146" w:rsidRPr="001568AD">
        <w:rPr>
          <w:rFonts w:ascii="Calibri" w:eastAsia="Times New Roman" w:hAnsi="Calibri" w:cs="Times New Roman"/>
          <w:snapToGrid w:val="0"/>
          <w:color w:val="000000"/>
        </w:rPr>
        <w:t xml:space="preserve"> whose family income is at or below 150% of the FPL are eligible to receive services at a discount of 100%.</w:t>
      </w:r>
    </w:p>
    <w:p w14:paraId="7592925B" w14:textId="2395B504" w:rsidR="00C22160" w:rsidRPr="001568AD" w:rsidRDefault="00664EB6" w:rsidP="001568AD">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sidRPr="001568AD">
        <w:rPr>
          <w:rFonts w:ascii="Calibri" w:eastAsia="Times New Roman" w:hAnsi="Calibri" w:cs="Times New Roman"/>
          <w:snapToGrid w:val="0"/>
          <w:color w:val="000000"/>
        </w:rPr>
        <w:t>Individual</w:t>
      </w:r>
      <w:r w:rsidR="008F6146" w:rsidRPr="001568AD">
        <w:rPr>
          <w:rFonts w:ascii="Calibri" w:eastAsia="Times New Roman" w:hAnsi="Calibri" w:cs="Times New Roman"/>
          <w:snapToGrid w:val="0"/>
          <w:color w:val="000000"/>
        </w:rPr>
        <w:t>s whose family income is above 150% but not more than 200% of the FPL are eligible to receive services at a discount (partial charity care) at rates discounted using Sliding Scale Fee Schedules. Uncollected fees assessed are Bad Debt and ineligible for reimbursement under federal charity care programs.</w:t>
      </w:r>
    </w:p>
    <w:p w14:paraId="7EBB129B" w14:textId="63035F28" w:rsidR="007C3102" w:rsidRPr="001568AD" w:rsidRDefault="00664EB6" w:rsidP="001568AD">
      <w:pPr>
        <w:pStyle w:val="ListParagraph"/>
        <w:widowControl/>
        <w:numPr>
          <w:ilvl w:val="2"/>
          <w:numId w:val="6"/>
        </w:numPr>
        <w:adjustRightInd w:val="0"/>
        <w:ind w:left="1440" w:hanging="360"/>
        <w:contextualSpacing/>
        <w:rPr>
          <w:rFonts w:ascii="Calibri" w:eastAsia="Times New Roman" w:hAnsi="Calibri" w:cs="Times New Roman"/>
          <w:snapToGrid w:val="0"/>
          <w:color w:val="000000"/>
        </w:rPr>
      </w:pPr>
      <w:r w:rsidRPr="001568AD">
        <w:rPr>
          <w:rFonts w:ascii="Calibri" w:eastAsia="Times New Roman" w:hAnsi="Calibri" w:cs="Times New Roman"/>
          <w:snapToGrid w:val="0"/>
          <w:color w:val="000000"/>
        </w:rPr>
        <w:t>Individual</w:t>
      </w:r>
      <w:r w:rsidR="008F6146" w:rsidRPr="001568AD">
        <w:rPr>
          <w:rFonts w:ascii="Calibri" w:eastAsia="Times New Roman" w:hAnsi="Calibri" w:cs="Times New Roman"/>
          <w:snapToGrid w:val="0"/>
          <w:color w:val="000000"/>
        </w:rPr>
        <w:t xml:space="preserve">s whose family income exceeds 200% of the FPL may be eligible to receive discounted rates on a case-by-case basis based on their specific circumstances, such as catastrophic illness or medical indigence, at the discretion of </w:t>
      </w:r>
      <w:r w:rsidR="00F23881">
        <w:rPr>
          <w:rFonts w:ascii="Calibri" w:eastAsia="Times New Roman" w:hAnsi="Calibri" w:cs="Times New Roman"/>
          <w:snapToGrid w:val="0"/>
          <w:color w:val="000000"/>
        </w:rPr>
        <w:t>BTCS</w:t>
      </w:r>
      <w:r w:rsidR="008F6146" w:rsidRPr="001568AD">
        <w:rPr>
          <w:rFonts w:ascii="Calibri" w:eastAsia="Times New Roman" w:hAnsi="Calibri" w:cs="Times New Roman"/>
          <w:snapToGrid w:val="0"/>
          <w:color w:val="000000"/>
        </w:rPr>
        <w:t>; however, the discounted rates shall not be greater than the amounts generally billed to private or public insurance and discounted using Sliding Scale Fee Schedules. Uncollected fees assessed are Bad Debt and ineligible for reimbursement under federal charity care programs.</w:t>
      </w:r>
    </w:p>
    <w:p w14:paraId="5B4ABB4B" w14:textId="67255B11" w:rsidR="00C22160" w:rsidRPr="007C3102" w:rsidRDefault="007C3102" w:rsidP="00A431ED">
      <w:pPr>
        <w:pStyle w:val="Heading3"/>
        <w:numPr>
          <w:ilvl w:val="0"/>
          <w:numId w:val="5"/>
        </w:numPr>
        <w:spacing w:before="240" w:line="240" w:lineRule="auto"/>
        <w:ind w:left="360"/>
        <w:rPr>
          <w:rFonts w:ascii="Calibri Light" w:eastAsia="Times New Roman" w:hAnsi="Calibri Light" w:cs="Times New Roman"/>
          <w:color w:val="1F3763"/>
        </w:rPr>
      </w:pPr>
      <w:bookmarkStart w:id="5" w:name="_Toc107400368"/>
      <w:r w:rsidRPr="007C3102">
        <w:rPr>
          <w:rFonts w:ascii="Calibri Light" w:eastAsia="Times New Roman" w:hAnsi="Calibri Light" w:cs="Times New Roman"/>
          <w:color w:val="1F3763"/>
        </w:rPr>
        <w:t>Communication of the Charity Care Program</w:t>
      </w:r>
      <w:r w:rsidR="001568AD">
        <w:rPr>
          <w:rFonts w:ascii="Calibri Light" w:eastAsia="Times New Roman" w:hAnsi="Calibri Light" w:cs="Times New Roman"/>
          <w:color w:val="1F3763"/>
        </w:rPr>
        <w:t xml:space="preserve"> to the Community and Individuals Served</w:t>
      </w:r>
      <w:bookmarkEnd w:id="5"/>
    </w:p>
    <w:p w14:paraId="4591FD07" w14:textId="7130CF04" w:rsidR="001568AD" w:rsidRPr="00463F3A" w:rsidRDefault="008F6146" w:rsidP="00463F3A">
      <w:pPr>
        <w:pStyle w:val="ListParagraph"/>
        <w:widowControl/>
        <w:numPr>
          <w:ilvl w:val="0"/>
          <w:numId w:val="8"/>
        </w:numPr>
        <w:adjustRightInd w:val="0"/>
        <w:ind w:left="720" w:hanging="360"/>
        <w:contextualSpacing/>
        <w:jc w:val="left"/>
        <w:rPr>
          <w:rFonts w:ascii="Calibri" w:eastAsia="Times New Roman" w:hAnsi="Calibri" w:cs="Times New Roman"/>
          <w:snapToGrid w:val="0"/>
          <w:color w:val="000000"/>
        </w:rPr>
      </w:pPr>
      <w:r w:rsidRPr="00463F3A">
        <w:rPr>
          <w:rFonts w:ascii="Calibri" w:eastAsia="Times New Roman" w:hAnsi="Calibri" w:cs="Times New Roman"/>
          <w:snapToGrid w:val="0"/>
          <w:color w:val="000000"/>
        </w:rPr>
        <w:t xml:space="preserve">Notification about charity care available from </w:t>
      </w:r>
      <w:r w:rsidR="00EC7734">
        <w:rPr>
          <w:rFonts w:ascii="Calibri" w:eastAsia="Times New Roman" w:hAnsi="Calibri" w:cs="Times New Roman"/>
          <w:snapToGrid w:val="0"/>
          <w:color w:val="000000"/>
        </w:rPr>
        <w:t>BTCS</w:t>
      </w:r>
      <w:r w:rsidR="00664EB6" w:rsidRPr="00463F3A">
        <w:rPr>
          <w:rFonts w:ascii="Calibri" w:eastAsia="Times New Roman" w:hAnsi="Calibri" w:cs="Times New Roman"/>
          <w:snapToGrid w:val="0"/>
          <w:color w:val="000000"/>
        </w:rPr>
        <w:t xml:space="preserve"> </w:t>
      </w:r>
      <w:r w:rsidRPr="00463F3A">
        <w:rPr>
          <w:rFonts w:ascii="Calibri" w:eastAsia="Times New Roman" w:hAnsi="Calibri" w:cs="Times New Roman"/>
          <w:snapToGrid w:val="0"/>
          <w:color w:val="000000"/>
        </w:rPr>
        <w:t>includes a contact number</w:t>
      </w:r>
      <w:r w:rsidR="00664EB6" w:rsidRPr="00463F3A">
        <w:rPr>
          <w:rFonts w:ascii="Calibri" w:eastAsia="Times New Roman" w:hAnsi="Calibri" w:cs="Times New Roman"/>
          <w:snapToGrid w:val="0"/>
          <w:color w:val="000000"/>
        </w:rPr>
        <w:t xml:space="preserve"> </w:t>
      </w:r>
      <w:r w:rsidRPr="00463F3A">
        <w:rPr>
          <w:rFonts w:ascii="Calibri" w:eastAsia="Times New Roman" w:hAnsi="Calibri" w:cs="Times New Roman"/>
          <w:snapToGrid w:val="0"/>
          <w:color w:val="000000"/>
        </w:rPr>
        <w:t>and is disseminated by various means</w:t>
      </w:r>
      <w:r w:rsidR="00246515">
        <w:rPr>
          <w:rFonts w:ascii="Calibri" w:eastAsia="Times New Roman" w:hAnsi="Calibri" w:cs="Times New Roman"/>
          <w:snapToGrid w:val="0"/>
          <w:color w:val="000000"/>
        </w:rPr>
        <w:t xml:space="preserve"> </w:t>
      </w:r>
      <w:r w:rsidRPr="00463F3A">
        <w:rPr>
          <w:rFonts w:ascii="Calibri" w:eastAsia="Times New Roman" w:hAnsi="Calibri" w:cs="Times New Roman"/>
          <w:snapToGrid w:val="0"/>
          <w:color w:val="000000"/>
        </w:rPr>
        <w:t>which include</w:t>
      </w:r>
      <w:r w:rsidR="00246515">
        <w:rPr>
          <w:rFonts w:ascii="Calibri" w:eastAsia="Times New Roman" w:hAnsi="Calibri" w:cs="Times New Roman"/>
          <w:snapToGrid w:val="0"/>
          <w:color w:val="000000"/>
        </w:rPr>
        <w:t>,</w:t>
      </w:r>
      <w:r w:rsidRPr="00463F3A">
        <w:rPr>
          <w:rFonts w:ascii="Calibri" w:eastAsia="Times New Roman" w:hAnsi="Calibri" w:cs="Times New Roman"/>
          <w:snapToGrid w:val="0"/>
          <w:color w:val="000000"/>
        </w:rPr>
        <w:t xml:space="preserve"> but are not limited to, the publication of notices in monthly statements and by posting notices in clinics, waiting areas, and other </w:t>
      </w:r>
      <w:r w:rsidR="005F3881">
        <w:rPr>
          <w:rFonts w:ascii="Calibri" w:eastAsia="Times New Roman" w:hAnsi="Calibri" w:cs="Times New Roman"/>
          <w:snapToGrid w:val="0"/>
          <w:color w:val="000000"/>
        </w:rPr>
        <w:t>BTCS facilities.</w:t>
      </w:r>
      <w:r w:rsidRPr="00463F3A">
        <w:rPr>
          <w:rFonts w:ascii="Calibri" w:eastAsia="Times New Roman" w:hAnsi="Calibri" w:cs="Times New Roman"/>
          <w:snapToGrid w:val="0"/>
          <w:color w:val="000000"/>
        </w:rPr>
        <w:t xml:space="preserve">  </w:t>
      </w:r>
    </w:p>
    <w:p w14:paraId="321933E9" w14:textId="771C7457" w:rsidR="00F20BF6" w:rsidRDefault="00EC7734" w:rsidP="00463F3A">
      <w:pPr>
        <w:pStyle w:val="ListParagraph"/>
        <w:widowControl/>
        <w:numPr>
          <w:ilvl w:val="0"/>
          <w:numId w:val="8"/>
        </w:numPr>
        <w:adjustRightInd w:val="0"/>
        <w:ind w:left="720" w:hanging="360"/>
        <w:contextualSpacing/>
        <w:jc w:val="left"/>
        <w:rPr>
          <w:rFonts w:ascii="Calibri" w:eastAsia="Times New Roman" w:hAnsi="Calibri" w:cs="Times New Roman"/>
          <w:snapToGrid w:val="0"/>
          <w:color w:val="000000"/>
        </w:rPr>
      </w:pPr>
      <w:r>
        <w:rPr>
          <w:rFonts w:ascii="Calibri" w:eastAsia="Times New Roman" w:hAnsi="Calibri" w:cs="Times New Roman"/>
          <w:snapToGrid w:val="0"/>
          <w:color w:val="000000"/>
        </w:rPr>
        <w:t>BTCS</w:t>
      </w:r>
      <w:r w:rsidR="008F6146" w:rsidRPr="00463F3A">
        <w:rPr>
          <w:rFonts w:ascii="Calibri" w:eastAsia="Times New Roman" w:hAnsi="Calibri" w:cs="Times New Roman"/>
          <w:snapToGrid w:val="0"/>
          <w:color w:val="000000"/>
        </w:rPr>
        <w:t xml:space="preserve"> widely publicizes a summary of this charity care </w:t>
      </w:r>
      <w:r w:rsidR="008F6146" w:rsidRPr="00F20BF6">
        <w:rPr>
          <w:rFonts w:ascii="Calibri" w:eastAsia="Times New Roman" w:hAnsi="Calibri" w:cs="Times New Roman"/>
          <w:snapToGrid w:val="0"/>
          <w:color w:val="000000"/>
        </w:rPr>
        <w:t>p</w:t>
      </w:r>
      <w:r w:rsidR="00664EB6" w:rsidRPr="00F20BF6">
        <w:rPr>
          <w:rFonts w:ascii="Calibri" w:eastAsia="Times New Roman" w:hAnsi="Calibri" w:cs="Times New Roman"/>
          <w:snapToGrid w:val="0"/>
          <w:color w:val="000000"/>
        </w:rPr>
        <w:t>rocedure</w:t>
      </w:r>
      <w:r w:rsidR="008F6146" w:rsidRPr="00F20BF6">
        <w:rPr>
          <w:rFonts w:ascii="Calibri" w:eastAsia="Times New Roman" w:hAnsi="Calibri" w:cs="Times New Roman"/>
          <w:snapToGrid w:val="0"/>
          <w:color w:val="000000"/>
        </w:rPr>
        <w:t xml:space="preserve"> on the </w:t>
      </w:r>
      <w:r>
        <w:rPr>
          <w:rFonts w:ascii="Calibri" w:eastAsia="Times New Roman" w:hAnsi="Calibri" w:cs="Times New Roman"/>
          <w:snapToGrid w:val="0"/>
          <w:color w:val="000000"/>
        </w:rPr>
        <w:t>BTCS</w:t>
      </w:r>
      <w:r w:rsidR="008F6146" w:rsidRPr="00F20BF6">
        <w:rPr>
          <w:rFonts w:ascii="Calibri" w:eastAsia="Times New Roman" w:hAnsi="Calibri" w:cs="Times New Roman"/>
          <w:snapToGrid w:val="0"/>
          <w:color w:val="000000"/>
        </w:rPr>
        <w:t xml:space="preserve"> website, in</w:t>
      </w:r>
      <w:r w:rsidR="008F6146" w:rsidRPr="00463F3A">
        <w:rPr>
          <w:rFonts w:ascii="Calibri" w:eastAsia="Times New Roman" w:hAnsi="Calibri" w:cs="Times New Roman"/>
          <w:snapToGrid w:val="0"/>
          <w:color w:val="000000"/>
        </w:rPr>
        <w:t xml:space="preserve"> brochures available </w:t>
      </w:r>
      <w:r w:rsidR="00664EB6" w:rsidRPr="00463F3A">
        <w:rPr>
          <w:rFonts w:ascii="Calibri" w:eastAsia="Times New Roman" w:hAnsi="Calibri" w:cs="Times New Roman"/>
          <w:snapToGrid w:val="0"/>
          <w:color w:val="000000"/>
        </w:rPr>
        <w:t>with</w:t>
      </w:r>
      <w:r w:rsidR="008F6146" w:rsidRPr="00463F3A">
        <w:rPr>
          <w:rFonts w:ascii="Calibri" w:eastAsia="Times New Roman" w:hAnsi="Calibri" w:cs="Times New Roman"/>
          <w:snapToGrid w:val="0"/>
          <w:color w:val="000000"/>
        </w:rPr>
        <w:t xml:space="preserve">in </w:t>
      </w:r>
      <w:r w:rsidR="00664EB6" w:rsidRPr="00463F3A">
        <w:rPr>
          <w:rFonts w:ascii="Calibri" w:eastAsia="Times New Roman" w:hAnsi="Calibri" w:cs="Times New Roman"/>
          <w:snapToGrid w:val="0"/>
          <w:color w:val="000000"/>
        </w:rPr>
        <w:t>service</w:t>
      </w:r>
      <w:r w:rsidR="008F6146" w:rsidRPr="00463F3A">
        <w:rPr>
          <w:rFonts w:ascii="Calibri" w:eastAsia="Times New Roman" w:hAnsi="Calibri" w:cs="Times New Roman"/>
          <w:snapToGrid w:val="0"/>
          <w:color w:val="000000"/>
        </w:rPr>
        <w:t xml:space="preserve"> access sites and at other places within the community served by </w:t>
      </w:r>
      <w:r w:rsidR="00F23881">
        <w:rPr>
          <w:rFonts w:ascii="Calibri" w:eastAsia="Times New Roman" w:hAnsi="Calibri" w:cs="Times New Roman"/>
          <w:snapToGrid w:val="0"/>
          <w:color w:val="000000"/>
        </w:rPr>
        <w:t>BTCS</w:t>
      </w:r>
      <w:r w:rsidR="008F6146" w:rsidRPr="00463F3A">
        <w:rPr>
          <w:rFonts w:ascii="Calibri" w:eastAsia="Times New Roman" w:hAnsi="Calibri" w:cs="Times New Roman"/>
          <w:snapToGrid w:val="0"/>
          <w:color w:val="000000"/>
        </w:rPr>
        <w:t xml:space="preserve">. </w:t>
      </w:r>
    </w:p>
    <w:p w14:paraId="40789F48" w14:textId="6EB351BC" w:rsidR="00C22160" w:rsidRPr="00F23881" w:rsidRDefault="008F6146" w:rsidP="00463F3A">
      <w:pPr>
        <w:pStyle w:val="ListParagraph"/>
        <w:widowControl/>
        <w:numPr>
          <w:ilvl w:val="0"/>
          <w:numId w:val="8"/>
        </w:numPr>
        <w:adjustRightInd w:val="0"/>
        <w:ind w:left="720" w:hanging="360"/>
        <w:contextualSpacing/>
        <w:jc w:val="left"/>
        <w:rPr>
          <w:rFonts w:ascii="Calibri" w:eastAsia="Times New Roman" w:hAnsi="Calibri" w:cs="Times New Roman"/>
          <w:snapToGrid w:val="0"/>
          <w:color w:val="000000"/>
        </w:rPr>
      </w:pPr>
      <w:r w:rsidRPr="00463F3A">
        <w:rPr>
          <w:rFonts w:ascii="Calibri" w:eastAsia="Times New Roman" w:hAnsi="Calibri" w:cs="Times New Roman"/>
          <w:snapToGrid w:val="0"/>
          <w:color w:val="000000"/>
        </w:rPr>
        <w:t xml:space="preserve">Such notices and summary information are provided in accordance with </w:t>
      </w:r>
      <w:r w:rsidRPr="00F23881">
        <w:rPr>
          <w:rFonts w:ascii="Calibri" w:eastAsia="Times New Roman" w:hAnsi="Calibri" w:cs="Times New Roman"/>
          <w:snapToGrid w:val="0"/>
          <w:color w:val="000000"/>
        </w:rPr>
        <w:t xml:space="preserve">the </w:t>
      </w:r>
      <w:r w:rsidR="00EC7734" w:rsidRPr="00F23881">
        <w:rPr>
          <w:rFonts w:ascii="Calibri" w:eastAsia="Times New Roman" w:hAnsi="Calibri" w:cs="Times New Roman"/>
          <w:snapToGrid w:val="0"/>
          <w:color w:val="000000"/>
        </w:rPr>
        <w:t>BTCS</w:t>
      </w:r>
      <w:r w:rsidRPr="00F23881">
        <w:rPr>
          <w:rFonts w:ascii="Calibri" w:eastAsia="Times New Roman" w:hAnsi="Calibri" w:cs="Times New Roman"/>
          <w:snapToGrid w:val="0"/>
          <w:color w:val="000000"/>
        </w:rPr>
        <w:t xml:space="preserve"> Cultural</w:t>
      </w:r>
      <w:r w:rsidR="00F23881" w:rsidRPr="00F23881">
        <w:rPr>
          <w:rFonts w:ascii="Calibri" w:eastAsia="Times New Roman" w:hAnsi="Calibri" w:cs="Times New Roman"/>
          <w:snapToGrid w:val="0"/>
          <w:color w:val="000000"/>
        </w:rPr>
        <w:t xml:space="preserve"> </w:t>
      </w:r>
      <w:r w:rsidRPr="00F23881">
        <w:rPr>
          <w:rFonts w:ascii="Calibri" w:eastAsia="Times New Roman" w:hAnsi="Calibri" w:cs="Times New Roman"/>
          <w:snapToGrid w:val="0"/>
          <w:color w:val="000000"/>
        </w:rPr>
        <w:t>Competency Plan.</w:t>
      </w:r>
    </w:p>
    <w:p w14:paraId="5FF18B4A" w14:textId="21AE5846" w:rsidR="007C3102" w:rsidRPr="007C3102" w:rsidRDefault="007C3102" w:rsidP="00A431ED">
      <w:pPr>
        <w:pStyle w:val="Heading3"/>
        <w:numPr>
          <w:ilvl w:val="0"/>
          <w:numId w:val="5"/>
        </w:numPr>
        <w:spacing w:before="240" w:line="240" w:lineRule="auto"/>
        <w:ind w:left="360"/>
        <w:rPr>
          <w:rFonts w:ascii="Calibri Light" w:eastAsia="Times New Roman" w:hAnsi="Calibri Light" w:cs="Times New Roman"/>
          <w:color w:val="1F3763"/>
        </w:rPr>
      </w:pPr>
      <w:bookmarkStart w:id="6" w:name="_Toc107400369"/>
      <w:r w:rsidRPr="007C3102">
        <w:rPr>
          <w:rFonts w:ascii="Calibri Light" w:eastAsia="Times New Roman" w:hAnsi="Calibri Light" w:cs="Times New Roman"/>
          <w:color w:val="1F3763"/>
        </w:rPr>
        <w:t>Relationship to Collection Procedures</w:t>
      </w:r>
      <w:bookmarkEnd w:id="6"/>
    </w:p>
    <w:p w14:paraId="7C1BDA7F" w14:textId="74277124" w:rsidR="00EC7734" w:rsidRDefault="00F20BF6" w:rsidP="007746F0">
      <w:pPr>
        <w:pStyle w:val="ListParagraph"/>
        <w:widowControl/>
        <w:numPr>
          <w:ilvl w:val="0"/>
          <w:numId w:val="9"/>
        </w:numPr>
        <w:adjustRightInd w:val="0"/>
        <w:ind w:left="720" w:hanging="360"/>
        <w:contextualSpacing/>
        <w:jc w:val="left"/>
        <w:rPr>
          <w:rFonts w:ascii="Calibri" w:eastAsia="Times New Roman" w:hAnsi="Calibri" w:cs="Times New Roman"/>
          <w:snapToGrid w:val="0"/>
          <w:color w:val="000000"/>
        </w:rPr>
      </w:pPr>
      <w:r>
        <w:rPr>
          <w:rFonts w:ascii="Calibri" w:eastAsia="Times New Roman" w:hAnsi="Calibri" w:cs="Times New Roman"/>
          <w:snapToGrid w:val="0"/>
          <w:color w:val="000000"/>
        </w:rPr>
        <w:t>BTCS</w:t>
      </w:r>
      <w:r w:rsidR="008F6146" w:rsidRPr="007746F0">
        <w:rPr>
          <w:rFonts w:ascii="Calibri" w:eastAsia="Times New Roman" w:hAnsi="Calibri" w:cs="Times New Roman"/>
          <w:snapToGrid w:val="0"/>
          <w:color w:val="000000"/>
        </w:rPr>
        <w:t xml:space="preserve"> develops policies and procedures for internal and external collection practices (including actions </w:t>
      </w:r>
      <w:r>
        <w:rPr>
          <w:rFonts w:ascii="Calibri" w:eastAsia="Times New Roman" w:hAnsi="Calibri" w:cs="Times New Roman"/>
          <w:snapToGrid w:val="0"/>
          <w:color w:val="000000"/>
        </w:rPr>
        <w:t>BTCS</w:t>
      </w:r>
      <w:r w:rsidR="008F6146" w:rsidRPr="007746F0">
        <w:rPr>
          <w:rFonts w:ascii="Calibri" w:eastAsia="Times New Roman" w:hAnsi="Calibri" w:cs="Times New Roman"/>
          <w:snapToGrid w:val="0"/>
          <w:color w:val="000000"/>
        </w:rPr>
        <w:t xml:space="preserve"> may take in the event of non-payment, </w:t>
      </w:r>
      <w:r w:rsidR="00246515">
        <w:rPr>
          <w:rFonts w:ascii="Calibri" w:eastAsia="Times New Roman" w:hAnsi="Calibri" w:cs="Times New Roman"/>
          <w:snapToGrid w:val="0"/>
          <w:color w:val="000000"/>
        </w:rPr>
        <w:t>such as</w:t>
      </w:r>
      <w:r w:rsidR="008F6146" w:rsidRPr="007746F0">
        <w:rPr>
          <w:rFonts w:ascii="Calibri" w:eastAsia="Times New Roman" w:hAnsi="Calibri" w:cs="Times New Roman"/>
          <w:snapToGrid w:val="0"/>
          <w:color w:val="000000"/>
        </w:rPr>
        <w:t xml:space="preserve"> collections action and reporting to credit agencies) that take into account the extent to which the </w:t>
      </w:r>
      <w:r w:rsidR="00151F02" w:rsidRPr="007746F0">
        <w:rPr>
          <w:rFonts w:ascii="Calibri" w:eastAsia="Times New Roman" w:hAnsi="Calibri" w:cs="Times New Roman"/>
          <w:snapToGrid w:val="0"/>
          <w:color w:val="000000"/>
        </w:rPr>
        <w:t>individual</w:t>
      </w:r>
      <w:r w:rsidR="008F6146" w:rsidRPr="007746F0">
        <w:rPr>
          <w:rFonts w:ascii="Calibri" w:eastAsia="Times New Roman" w:hAnsi="Calibri" w:cs="Times New Roman"/>
          <w:snapToGrid w:val="0"/>
          <w:color w:val="000000"/>
        </w:rPr>
        <w:t xml:space="preserve"> qualifies for charity care, a</w:t>
      </w:r>
      <w:r w:rsidR="00151F02" w:rsidRPr="007746F0">
        <w:rPr>
          <w:rFonts w:ascii="Calibri" w:eastAsia="Times New Roman" w:hAnsi="Calibri" w:cs="Times New Roman"/>
          <w:snapToGrid w:val="0"/>
          <w:color w:val="000000"/>
        </w:rPr>
        <w:t>n individual’s</w:t>
      </w:r>
      <w:r w:rsidR="008F6146" w:rsidRPr="007746F0">
        <w:rPr>
          <w:rFonts w:ascii="Calibri" w:eastAsia="Times New Roman" w:hAnsi="Calibri" w:cs="Times New Roman"/>
          <w:snapToGrid w:val="0"/>
          <w:color w:val="000000"/>
        </w:rPr>
        <w:t xml:space="preserve"> good faith effort to apply for charity care from </w:t>
      </w:r>
      <w:r>
        <w:rPr>
          <w:rFonts w:ascii="Calibri" w:eastAsia="Times New Roman" w:hAnsi="Calibri" w:cs="Times New Roman"/>
          <w:snapToGrid w:val="0"/>
          <w:color w:val="000000"/>
        </w:rPr>
        <w:t>BTCS</w:t>
      </w:r>
      <w:r w:rsidR="008F6146" w:rsidRPr="007746F0">
        <w:rPr>
          <w:rFonts w:ascii="Calibri" w:eastAsia="Times New Roman" w:hAnsi="Calibri" w:cs="Times New Roman"/>
          <w:snapToGrid w:val="0"/>
          <w:color w:val="000000"/>
        </w:rPr>
        <w:t>, and a</w:t>
      </w:r>
      <w:r w:rsidR="00151F02" w:rsidRPr="007746F0">
        <w:rPr>
          <w:rFonts w:ascii="Calibri" w:eastAsia="Times New Roman" w:hAnsi="Calibri" w:cs="Times New Roman"/>
          <w:snapToGrid w:val="0"/>
          <w:color w:val="000000"/>
        </w:rPr>
        <w:t>n individual’s</w:t>
      </w:r>
      <w:r w:rsidR="008F6146" w:rsidRPr="007746F0">
        <w:rPr>
          <w:rFonts w:ascii="Calibri" w:eastAsia="Times New Roman" w:hAnsi="Calibri" w:cs="Times New Roman"/>
          <w:snapToGrid w:val="0"/>
          <w:color w:val="000000"/>
        </w:rPr>
        <w:t xml:space="preserve"> good faith effort to comply with </w:t>
      </w:r>
      <w:r w:rsidR="00151F02" w:rsidRPr="007746F0">
        <w:rPr>
          <w:rFonts w:ascii="Calibri" w:eastAsia="Times New Roman" w:hAnsi="Calibri" w:cs="Times New Roman"/>
          <w:snapToGrid w:val="0"/>
          <w:color w:val="000000"/>
        </w:rPr>
        <w:t>their</w:t>
      </w:r>
      <w:r w:rsidR="008F6146" w:rsidRPr="007746F0">
        <w:rPr>
          <w:rFonts w:ascii="Calibri" w:eastAsia="Times New Roman" w:hAnsi="Calibri" w:cs="Times New Roman"/>
          <w:snapToGrid w:val="0"/>
          <w:color w:val="000000"/>
        </w:rPr>
        <w:t xml:space="preserve"> payment agreements with </w:t>
      </w:r>
      <w:r>
        <w:rPr>
          <w:rFonts w:ascii="Calibri" w:eastAsia="Times New Roman" w:hAnsi="Calibri" w:cs="Times New Roman"/>
          <w:snapToGrid w:val="0"/>
          <w:color w:val="000000"/>
        </w:rPr>
        <w:t>BTCS</w:t>
      </w:r>
      <w:r w:rsidR="008F6146" w:rsidRPr="007746F0">
        <w:rPr>
          <w:rFonts w:ascii="Calibri" w:eastAsia="Times New Roman" w:hAnsi="Calibri" w:cs="Times New Roman"/>
          <w:snapToGrid w:val="0"/>
          <w:color w:val="000000"/>
        </w:rPr>
        <w:t xml:space="preserve">. For </w:t>
      </w:r>
      <w:r w:rsidR="00151F02" w:rsidRPr="007746F0">
        <w:rPr>
          <w:rFonts w:ascii="Calibri" w:eastAsia="Times New Roman" w:hAnsi="Calibri" w:cs="Times New Roman"/>
          <w:snapToGrid w:val="0"/>
          <w:color w:val="000000"/>
        </w:rPr>
        <w:t>individual</w:t>
      </w:r>
      <w:r w:rsidR="008F6146" w:rsidRPr="007746F0">
        <w:rPr>
          <w:rFonts w:ascii="Calibri" w:eastAsia="Times New Roman" w:hAnsi="Calibri" w:cs="Times New Roman"/>
          <w:snapToGrid w:val="0"/>
          <w:color w:val="000000"/>
        </w:rPr>
        <w:t xml:space="preserve">s who qualify for charity care and who are cooperating in good faith to resolve their discounted bills, </w:t>
      </w:r>
      <w:r>
        <w:rPr>
          <w:rFonts w:ascii="Calibri" w:eastAsia="Times New Roman" w:hAnsi="Calibri" w:cs="Times New Roman"/>
          <w:snapToGrid w:val="0"/>
          <w:color w:val="000000"/>
        </w:rPr>
        <w:lastRenderedPageBreak/>
        <w:t>BTCS</w:t>
      </w:r>
      <w:r w:rsidR="008F6146" w:rsidRPr="007746F0">
        <w:rPr>
          <w:rFonts w:ascii="Calibri" w:eastAsia="Times New Roman" w:hAnsi="Calibri" w:cs="Times New Roman"/>
          <w:snapToGrid w:val="0"/>
          <w:color w:val="000000"/>
        </w:rPr>
        <w:t xml:space="preserve"> may offer extended payment plans, will not send unpaid bills to outside collection agencies, and will cease all collection efforts. </w:t>
      </w:r>
    </w:p>
    <w:p w14:paraId="6E8364BF" w14:textId="0D832B2B" w:rsidR="00C22160" w:rsidRPr="007746F0" w:rsidRDefault="00EC7734" w:rsidP="007746F0">
      <w:pPr>
        <w:pStyle w:val="ListParagraph"/>
        <w:widowControl/>
        <w:numPr>
          <w:ilvl w:val="0"/>
          <w:numId w:val="9"/>
        </w:numPr>
        <w:adjustRightInd w:val="0"/>
        <w:ind w:left="720" w:hanging="360"/>
        <w:contextualSpacing/>
        <w:jc w:val="left"/>
        <w:rPr>
          <w:rFonts w:ascii="Calibri" w:eastAsia="Times New Roman" w:hAnsi="Calibri" w:cs="Times New Roman"/>
          <w:snapToGrid w:val="0"/>
          <w:color w:val="000000"/>
        </w:rPr>
      </w:pPr>
      <w:r>
        <w:rPr>
          <w:rFonts w:ascii="Calibri" w:eastAsia="Times New Roman" w:hAnsi="Calibri" w:cs="Times New Roman"/>
          <w:snapToGrid w:val="0"/>
          <w:color w:val="000000"/>
        </w:rPr>
        <w:t>BTCS</w:t>
      </w:r>
      <w:r w:rsidR="008F6146" w:rsidRPr="007746F0">
        <w:rPr>
          <w:rFonts w:ascii="Calibri" w:eastAsia="Times New Roman" w:hAnsi="Calibri" w:cs="Times New Roman"/>
          <w:snapToGrid w:val="0"/>
          <w:color w:val="000000"/>
        </w:rPr>
        <w:t xml:space="preserve"> will not impose extraordinary collections actions such as wage garnishments; liens on primary residences, or other legal actions for any </w:t>
      </w:r>
      <w:r w:rsidR="00151F02" w:rsidRPr="007746F0">
        <w:rPr>
          <w:rFonts w:ascii="Calibri" w:eastAsia="Times New Roman" w:hAnsi="Calibri" w:cs="Times New Roman"/>
          <w:snapToGrid w:val="0"/>
          <w:color w:val="000000"/>
        </w:rPr>
        <w:t>individual</w:t>
      </w:r>
      <w:r w:rsidR="008F6146" w:rsidRPr="007746F0">
        <w:rPr>
          <w:rFonts w:ascii="Calibri" w:eastAsia="Times New Roman" w:hAnsi="Calibri" w:cs="Times New Roman"/>
          <w:snapToGrid w:val="0"/>
          <w:color w:val="000000"/>
        </w:rPr>
        <w:t xml:space="preserve"> without first making reasonable efforts to determine whether that </w:t>
      </w:r>
      <w:r w:rsidR="00151F02" w:rsidRPr="007746F0">
        <w:rPr>
          <w:rFonts w:ascii="Calibri" w:eastAsia="Times New Roman" w:hAnsi="Calibri" w:cs="Times New Roman"/>
          <w:snapToGrid w:val="0"/>
          <w:color w:val="000000"/>
        </w:rPr>
        <w:t>individual</w:t>
      </w:r>
      <w:r w:rsidR="008F6146" w:rsidRPr="007746F0">
        <w:rPr>
          <w:rFonts w:ascii="Calibri" w:eastAsia="Times New Roman" w:hAnsi="Calibri" w:cs="Times New Roman"/>
          <w:snapToGrid w:val="0"/>
          <w:color w:val="000000"/>
        </w:rPr>
        <w:t xml:space="preserve"> is eligible for charity care under this financial assistance p</w:t>
      </w:r>
      <w:r w:rsidR="00151F02" w:rsidRPr="007746F0">
        <w:rPr>
          <w:rFonts w:ascii="Calibri" w:eastAsia="Times New Roman" w:hAnsi="Calibri" w:cs="Times New Roman"/>
          <w:snapToGrid w:val="0"/>
          <w:color w:val="000000"/>
        </w:rPr>
        <w:t>rocedure</w:t>
      </w:r>
      <w:r w:rsidR="008F6146" w:rsidRPr="007746F0">
        <w:rPr>
          <w:rFonts w:ascii="Calibri" w:eastAsia="Times New Roman" w:hAnsi="Calibri" w:cs="Times New Roman"/>
          <w:snapToGrid w:val="0"/>
          <w:color w:val="000000"/>
        </w:rPr>
        <w:t>. Reasonable efforts shall include:</w:t>
      </w:r>
    </w:p>
    <w:p w14:paraId="41BCDA30" w14:textId="5BCD5160" w:rsidR="00C22160" w:rsidRPr="007746F0" w:rsidRDefault="008F6146" w:rsidP="007746F0">
      <w:pPr>
        <w:pStyle w:val="ListParagraph"/>
        <w:widowControl/>
        <w:numPr>
          <w:ilvl w:val="1"/>
          <w:numId w:val="9"/>
        </w:numPr>
        <w:adjustRightInd w:val="0"/>
        <w:ind w:left="1080" w:hanging="360"/>
        <w:contextualSpacing/>
        <w:rPr>
          <w:rFonts w:ascii="Calibri" w:eastAsia="Times New Roman" w:hAnsi="Calibri" w:cs="Times New Roman"/>
          <w:snapToGrid w:val="0"/>
          <w:color w:val="000000"/>
        </w:rPr>
      </w:pPr>
      <w:r w:rsidRPr="007746F0">
        <w:rPr>
          <w:rFonts w:ascii="Calibri" w:eastAsia="Times New Roman" w:hAnsi="Calibri" w:cs="Times New Roman"/>
          <w:snapToGrid w:val="0"/>
          <w:color w:val="000000"/>
        </w:rPr>
        <w:t xml:space="preserve">Validating that the </w:t>
      </w:r>
      <w:r w:rsidR="00151F02" w:rsidRPr="007746F0">
        <w:rPr>
          <w:rFonts w:ascii="Calibri" w:eastAsia="Times New Roman" w:hAnsi="Calibri" w:cs="Times New Roman"/>
          <w:snapToGrid w:val="0"/>
          <w:color w:val="000000"/>
        </w:rPr>
        <w:t>individual</w:t>
      </w:r>
      <w:r w:rsidRPr="007746F0">
        <w:rPr>
          <w:rFonts w:ascii="Calibri" w:eastAsia="Times New Roman" w:hAnsi="Calibri" w:cs="Times New Roman"/>
          <w:snapToGrid w:val="0"/>
          <w:color w:val="000000"/>
        </w:rPr>
        <w:t xml:space="preserve"> owes the unpaid charges and that all sources of third-party payment have been identified and billed by </w:t>
      </w:r>
      <w:r w:rsidR="00EC7734">
        <w:rPr>
          <w:rFonts w:ascii="Calibri" w:eastAsia="Times New Roman" w:hAnsi="Calibri" w:cs="Times New Roman"/>
          <w:snapToGrid w:val="0"/>
          <w:color w:val="000000"/>
        </w:rPr>
        <w:t>BTCS</w:t>
      </w:r>
      <w:r w:rsidRPr="007746F0">
        <w:rPr>
          <w:rFonts w:ascii="Calibri" w:eastAsia="Times New Roman" w:hAnsi="Calibri" w:cs="Times New Roman"/>
          <w:snapToGrid w:val="0"/>
          <w:color w:val="000000"/>
        </w:rPr>
        <w:t>.</w:t>
      </w:r>
    </w:p>
    <w:p w14:paraId="050B455F" w14:textId="7396255F" w:rsidR="00C22160" w:rsidRPr="007746F0" w:rsidRDefault="008F6146" w:rsidP="007746F0">
      <w:pPr>
        <w:pStyle w:val="ListParagraph"/>
        <w:widowControl/>
        <w:numPr>
          <w:ilvl w:val="1"/>
          <w:numId w:val="9"/>
        </w:numPr>
        <w:adjustRightInd w:val="0"/>
        <w:ind w:left="1080" w:hanging="360"/>
        <w:contextualSpacing/>
        <w:rPr>
          <w:rFonts w:ascii="Calibri" w:eastAsia="Times New Roman" w:hAnsi="Calibri" w:cs="Times New Roman"/>
          <w:snapToGrid w:val="0"/>
          <w:color w:val="000000"/>
        </w:rPr>
      </w:pPr>
      <w:r w:rsidRPr="007746F0">
        <w:rPr>
          <w:rFonts w:ascii="Calibri" w:eastAsia="Times New Roman" w:hAnsi="Calibri" w:cs="Times New Roman"/>
          <w:snapToGrid w:val="0"/>
          <w:color w:val="000000"/>
        </w:rPr>
        <w:t xml:space="preserve">Documentation that </w:t>
      </w:r>
      <w:r w:rsidR="00EC7734">
        <w:rPr>
          <w:rFonts w:ascii="Calibri" w:eastAsia="Times New Roman" w:hAnsi="Calibri" w:cs="Times New Roman"/>
          <w:snapToGrid w:val="0"/>
          <w:color w:val="000000"/>
        </w:rPr>
        <w:t>BTCS</w:t>
      </w:r>
      <w:r w:rsidRPr="007746F0">
        <w:rPr>
          <w:rFonts w:ascii="Calibri" w:eastAsia="Times New Roman" w:hAnsi="Calibri" w:cs="Times New Roman"/>
          <w:snapToGrid w:val="0"/>
          <w:color w:val="000000"/>
        </w:rPr>
        <w:t xml:space="preserve"> has attempted to offer the </w:t>
      </w:r>
      <w:r w:rsidR="00151F02" w:rsidRPr="007746F0">
        <w:rPr>
          <w:rFonts w:ascii="Calibri" w:eastAsia="Times New Roman" w:hAnsi="Calibri" w:cs="Times New Roman"/>
          <w:snapToGrid w:val="0"/>
          <w:color w:val="000000"/>
        </w:rPr>
        <w:t>individual</w:t>
      </w:r>
      <w:r w:rsidRPr="007746F0">
        <w:rPr>
          <w:rFonts w:ascii="Calibri" w:eastAsia="Times New Roman" w:hAnsi="Calibri" w:cs="Times New Roman"/>
          <w:snapToGrid w:val="0"/>
          <w:color w:val="000000"/>
        </w:rPr>
        <w:t xml:space="preserve"> the opportunity to apply or be assessed for charity care pursuant to this p</w:t>
      </w:r>
      <w:r w:rsidR="00246515">
        <w:rPr>
          <w:rFonts w:ascii="Calibri" w:eastAsia="Times New Roman" w:hAnsi="Calibri" w:cs="Times New Roman"/>
          <w:snapToGrid w:val="0"/>
          <w:color w:val="000000"/>
        </w:rPr>
        <w:t>rocedure</w:t>
      </w:r>
      <w:r w:rsidRPr="007746F0">
        <w:rPr>
          <w:rFonts w:ascii="Calibri" w:eastAsia="Times New Roman" w:hAnsi="Calibri" w:cs="Times New Roman"/>
          <w:snapToGrid w:val="0"/>
          <w:color w:val="000000"/>
        </w:rPr>
        <w:t xml:space="preserve"> and that the </w:t>
      </w:r>
      <w:r w:rsidR="00151F02" w:rsidRPr="007746F0">
        <w:rPr>
          <w:rFonts w:ascii="Calibri" w:eastAsia="Times New Roman" w:hAnsi="Calibri" w:cs="Times New Roman"/>
          <w:snapToGrid w:val="0"/>
          <w:color w:val="000000"/>
        </w:rPr>
        <w:t>individual</w:t>
      </w:r>
      <w:r w:rsidRPr="007746F0">
        <w:rPr>
          <w:rFonts w:ascii="Calibri" w:eastAsia="Times New Roman" w:hAnsi="Calibri" w:cs="Times New Roman"/>
          <w:snapToGrid w:val="0"/>
          <w:color w:val="000000"/>
        </w:rPr>
        <w:t xml:space="preserve"> has not complied with </w:t>
      </w:r>
      <w:r w:rsidR="00EC7734">
        <w:rPr>
          <w:rFonts w:ascii="Calibri" w:eastAsia="Times New Roman" w:hAnsi="Calibri" w:cs="Times New Roman"/>
          <w:snapToGrid w:val="0"/>
          <w:color w:val="000000"/>
        </w:rPr>
        <w:t>BTCS</w:t>
      </w:r>
      <w:r w:rsidRPr="007746F0">
        <w:rPr>
          <w:rFonts w:ascii="Calibri" w:eastAsia="Times New Roman" w:hAnsi="Calibri" w:cs="Times New Roman"/>
          <w:snapToGrid w:val="0"/>
          <w:color w:val="000000"/>
        </w:rPr>
        <w:t xml:space="preserve"> financial assessment requirements.</w:t>
      </w:r>
      <w:r w:rsidR="003F3803">
        <w:rPr>
          <w:rFonts w:ascii="Calibri" w:eastAsia="Times New Roman" w:hAnsi="Calibri" w:cs="Times New Roman"/>
          <w:snapToGrid w:val="0"/>
          <w:color w:val="000000"/>
        </w:rPr>
        <w:t xml:space="preserve"> </w:t>
      </w:r>
    </w:p>
    <w:p w14:paraId="1C711080" w14:textId="339132EE" w:rsidR="00C22160" w:rsidRPr="007746F0" w:rsidRDefault="008F6146" w:rsidP="007746F0">
      <w:pPr>
        <w:pStyle w:val="ListParagraph"/>
        <w:widowControl/>
        <w:numPr>
          <w:ilvl w:val="1"/>
          <w:numId w:val="9"/>
        </w:numPr>
        <w:adjustRightInd w:val="0"/>
        <w:ind w:left="1080" w:hanging="360"/>
        <w:contextualSpacing/>
        <w:rPr>
          <w:rFonts w:ascii="Calibri" w:eastAsia="Times New Roman" w:hAnsi="Calibri" w:cs="Times New Roman"/>
          <w:snapToGrid w:val="0"/>
          <w:color w:val="000000"/>
        </w:rPr>
      </w:pPr>
      <w:r w:rsidRPr="007746F0">
        <w:rPr>
          <w:rFonts w:ascii="Calibri" w:eastAsia="Times New Roman" w:hAnsi="Calibri" w:cs="Times New Roman"/>
          <w:snapToGrid w:val="0"/>
          <w:color w:val="000000"/>
        </w:rPr>
        <w:t xml:space="preserve">Documentation that the </w:t>
      </w:r>
      <w:r w:rsidR="00151F02" w:rsidRPr="007746F0">
        <w:rPr>
          <w:rFonts w:ascii="Calibri" w:eastAsia="Times New Roman" w:hAnsi="Calibri" w:cs="Times New Roman"/>
          <w:snapToGrid w:val="0"/>
          <w:color w:val="000000"/>
        </w:rPr>
        <w:t xml:space="preserve">individual </w:t>
      </w:r>
      <w:r w:rsidRPr="007746F0">
        <w:rPr>
          <w:rFonts w:ascii="Calibri" w:eastAsia="Times New Roman" w:hAnsi="Calibri" w:cs="Times New Roman"/>
          <w:snapToGrid w:val="0"/>
          <w:color w:val="000000"/>
        </w:rPr>
        <w:t>does not qualify for financial assistance on a presumptive basis.</w:t>
      </w:r>
    </w:p>
    <w:p w14:paraId="49A6E34C" w14:textId="3D346E08" w:rsidR="006E3F89" w:rsidRPr="00FA1A48" w:rsidRDefault="008F6146" w:rsidP="00EF5F6B">
      <w:pPr>
        <w:pStyle w:val="ListParagraph"/>
        <w:widowControl/>
        <w:numPr>
          <w:ilvl w:val="1"/>
          <w:numId w:val="9"/>
        </w:numPr>
        <w:adjustRightInd w:val="0"/>
        <w:ind w:left="1080" w:hanging="360"/>
        <w:contextualSpacing/>
        <w:rPr>
          <w:rFonts w:ascii="Calibri" w:eastAsia="Times New Roman" w:hAnsi="Calibri" w:cs="Times New Roman"/>
          <w:snapToGrid w:val="0"/>
          <w:color w:val="000000"/>
        </w:rPr>
      </w:pPr>
      <w:r w:rsidRPr="007746F0">
        <w:rPr>
          <w:rFonts w:ascii="Calibri" w:eastAsia="Times New Roman" w:hAnsi="Calibri" w:cs="Times New Roman"/>
          <w:snapToGrid w:val="0"/>
          <w:color w:val="000000"/>
        </w:rPr>
        <w:t xml:space="preserve">Documentation that the </w:t>
      </w:r>
      <w:r w:rsidR="00151F02" w:rsidRPr="007746F0">
        <w:rPr>
          <w:rFonts w:ascii="Calibri" w:eastAsia="Times New Roman" w:hAnsi="Calibri" w:cs="Times New Roman"/>
          <w:snapToGrid w:val="0"/>
          <w:color w:val="000000"/>
        </w:rPr>
        <w:t>individual</w:t>
      </w:r>
      <w:r w:rsidRPr="007746F0">
        <w:rPr>
          <w:rFonts w:ascii="Calibri" w:eastAsia="Times New Roman" w:hAnsi="Calibri" w:cs="Times New Roman"/>
          <w:snapToGrid w:val="0"/>
          <w:color w:val="000000"/>
        </w:rPr>
        <w:t xml:space="preserve"> has been offered a payment plan but has not honored the terms of that plan.</w:t>
      </w:r>
    </w:p>
    <w:p w14:paraId="70FBBBE2" w14:textId="33511BDE" w:rsidR="00C22160" w:rsidRPr="007C3102" w:rsidRDefault="006E3F89" w:rsidP="00A431ED">
      <w:pPr>
        <w:pStyle w:val="Heading3"/>
        <w:numPr>
          <w:ilvl w:val="0"/>
          <w:numId w:val="5"/>
        </w:numPr>
        <w:spacing w:before="240" w:line="240" w:lineRule="auto"/>
        <w:ind w:left="360"/>
        <w:rPr>
          <w:rFonts w:ascii="Calibri Light" w:eastAsia="Times New Roman" w:hAnsi="Calibri Light" w:cs="Times New Roman"/>
          <w:color w:val="1F3763"/>
        </w:rPr>
      </w:pPr>
      <w:bookmarkStart w:id="7" w:name="_Toc107400370"/>
      <w:r w:rsidRPr="007C3102">
        <w:rPr>
          <w:rFonts w:ascii="Calibri Light" w:eastAsia="Times New Roman" w:hAnsi="Calibri Light" w:cs="Times New Roman"/>
          <w:color w:val="1F3763"/>
        </w:rPr>
        <w:t>Other Requirements</w:t>
      </w:r>
      <w:bookmarkEnd w:id="7"/>
    </w:p>
    <w:p w14:paraId="022A0DB6" w14:textId="1170CC1E" w:rsidR="00C22160" w:rsidRPr="00FA1A48" w:rsidRDefault="008F6146" w:rsidP="00FA1A48">
      <w:pPr>
        <w:pStyle w:val="ListParagraph"/>
        <w:widowControl/>
        <w:numPr>
          <w:ilvl w:val="0"/>
          <w:numId w:val="10"/>
        </w:numPr>
        <w:adjustRightInd w:val="0"/>
        <w:ind w:left="720" w:hanging="360"/>
        <w:contextualSpacing/>
        <w:jc w:val="left"/>
        <w:rPr>
          <w:rFonts w:ascii="Calibri" w:eastAsia="Times New Roman" w:hAnsi="Calibri" w:cs="Times New Roman"/>
          <w:snapToGrid w:val="0"/>
          <w:color w:val="000000"/>
        </w:rPr>
      </w:pPr>
      <w:r w:rsidRPr="00FA1A48">
        <w:rPr>
          <w:rFonts w:ascii="Calibri" w:eastAsia="Times New Roman" w:hAnsi="Calibri" w:cs="Times New Roman"/>
          <w:snapToGrid w:val="0"/>
          <w:color w:val="000000"/>
        </w:rPr>
        <w:t>Regulatory Requirements</w:t>
      </w:r>
      <w:r w:rsidR="00FA1A48" w:rsidRPr="00FA1A48">
        <w:rPr>
          <w:rFonts w:ascii="Calibri" w:eastAsia="Times New Roman" w:hAnsi="Calibri" w:cs="Times New Roman"/>
          <w:snapToGrid w:val="0"/>
          <w:color w:val="000000"/>
        </w:rPr>
        <w:t xml:space="preserve">: </w:t>
      </w:r>
      <w:r w:rsidRPr="00FA1A48">
        <w:rPr>
          <w:rFonts w:ascii="Calibri" w:eastAsia="Times New Roman" w:hAnsi="Calibri" w:cs="Times New Roman"/>
          <w:snapToGrid w:val="0"/>
          <w:color w:val="000000"/>
        </w:rPr>
        <w:t xml:space="preserve">Implementation of this </w:t>
      </w:r>
      <w:r w:rsidR="00151F02" w:rsidRPr="00FA1A48">
        <w:rPr>
          <w:rFonts w:ascii="Calibri" w:eastAsia="Times New Roman" w:hAnsi="Calibri" w:cs="Times New Roman"/>
          <w:snapToGrid w:val="0"/>
          <w:color w:val="000000"/>
        </w:rPr>
        <w:t>procedure</w:t>
      </w:r>
      <w:r w:rsidRPr="00FA1A48">
        <w:rPr>
          <w:rFonts w:ascii="Calibri" w:eastAsia="Times New Roman" w:hAnsi="Calibri" w:cs="Times New Roman"/>
          <w:snapToGrid w:val="0"/>
          <w:color w:val="000000"/>
        </w:rPr>
        <w:t xml:space="preserve"> does not negate or supersede compliance with all other federal, state, and local laws, rules, and regulations applicable to the services outlined herein.</w:t>
      </w:r>
    </w:p>
    <w:p w14:paraId="6217FB5A" w14:textId="62249AD5" w:rsidR="00C22160" w:rsidRPr="00FA1A48" w:rsidRDefault="008F6146" w:rsidP="00FA1A48">
      <w:pPr>
        <w:pStyle w:val="ListParagraph"/>
        <w:widowControl/>
        <w:numPr>
          <w:ilvl w:val="0"/>
          <w:numId w:val="10"/>
        </w:numPr>
        <w:adjustRightInd w:val="0"/>
        <w:ind w:left="720" w:hanging="360"/>
        <w:contextualSpacing/>
        <w:jc w:val="left"/>
        <w:rPr>
          <w:rFonts w:ascii="Calibri" w:eastAsia="Times New Roman" w:hAnsi="Calibri" w:cs="Times New Roman"/>
          <w:snapToGrid w:val="0"/>
          <w:color w:val="000000"/>
        </w:rPr>
      </w:pPr>
      <w:r w:rsidRPr="00FA1A48">
        <w:rPr>
          <w:rFonts w:ascii="Calibri" w:eastAsia="Times New Roman" w:hAnsi="Calibri" w:cs="Times New Roman"/>
          <w:snapToGrid w:val="0"/>
          <w:color w:val="000000"/>
        </w:rPr>
        <w:t>Staff Training Requirements</w:t>
      </w:r>
      <w:r w:rsidR="00FA1A48" w:rsidRPr="00FA1A48">
        <w:rPr>
          <w:rFonts w:ascii="Calibri" w:eastAsia="Times New Roman" w:hAnsi="Calibri" w:cs="Times New Roman"/>
          <w:snapToGrid w:val="0"/>
          <w:color w:val="000000"/>
        </w:rPr>
        <w:t xml:space="preserve">: </w:t>
      </w:r>
      <w:r w:rsidRPr="00FA1A48">
        <w:rPr>
          <w:rFonts w:ascii="Calibri" w:eastAsia="Times New Roman" w:hAnsi="Calibri" w:cs="Times New Roman"/>
          <w:snapToGrid w:val="0"/>
          <w:color w:val="000000"/>
        </w:rPr>
        <w:t>Staff will adhere to parameters outlined in TAC Rule §355.8215 and Healthcare Financial Management Association guidance</w:t>
      </w:r>
      <w:r w:rsidR="00151F02" w:rsidRPr="00FA1A48">
        <w:rPr>
          <w:rFonts w:ascii="Calibri" w:eastAsia="Times New Roman" w:hAnsi="Calibri" w:cs="Times New Roman"/>
          <w:snapToGrid w:val="0"/>
          <w:color w:val="000000"/>
        </w:rPr>
        <w:t xml:space="preserve"> </w:t>
      </w:r>
      <w:r w:rsidRPr="00FA1A48">
        <w:rPr>
          <w:rFonts w:ascii="Calibri" w:eastAsia="Times New Roman" w:hAnsi="Calibri" w:cs="Times New Roman"/>
          <w:snapToGrid w:val="0"/>
          <w:color w:val="000000"/>
        </w:rPr>
        <w:t>found in the June</w:t>
      </w:r>
      <w:r w:rsidR="00F20BF6">
        <w:rPr>
          <w:rFonts w:ascii="Calibri" w:eastAsia="Times New Roman" w:hAnsi="Calibri" w:cs="Times New Roman"/>
          <w:snapToGrid w:val="0"/>
          <w:color w:val="000000"/>
        </w:rPr>
        <w:t xml:space="preserve"> </w:t>
      </w:r>
      <w:r w:rsidRPr="00FA1A48">
        <w:rPr>
          <w:rFonts w:ascii="Calibri" w:eastAsia="Times New Roman" w:hAnsi="Calibri" w:cs="Times New Roman"/>
          <w:snapToGrid w:val="0"/>
          <w:color w:val="000000"/>
        </w:rPr>
        <w:t>2019 Statement 15</w:t>
      </w:r>
      <w:r w:rsidR="00FA1A48">
        <w:rPr>
          <w:rFonts w:ascii="Calibri" w:eastAsia="Times New Roman" w:hAnsi="Calibri" w:cs="Times New Roman"/>
          <w:snapToGrid w:val="0"/>
          <w:color w:val="000000"/>
        </w:rPr>
        <w:t>,</w:t>
      </w:r>
      <w:r w:rsidRPr="00FA1A48">
        <w:rPr>
          <w:rFonts w:ascii="Calibri" w:eastAsia="Times New Roman" w:hAnsi="Calibri" w:cs="Times New Roman"/>
          <w:snapToGrid w:val="0"/>
          <w:color w:val="000000"/>
        </w:rPr>
        <w:t xml:space="preserve"> “Valuation and Financial Statement Presentation of Charity Care, Implicit Price Concessions and Bad Debts by Institutional Health Care Providers”.</w:t>
      </w:r>
    </w:p>
    <w:sectPr w:rsidR="00C22160" w:rsidRPr="00FA1A48" w:rsidSect="00151F02">
      <w:headerReference w:type="default" r:id="rId9"/>
      <w:footerReference w:type="default" r:id="rId10"/>
      <w:pgSz w:w="12240" w:h="15840"/>
      <w:pgMar w:top="1440" w:right="1440" w:bottom="1440" w:left="1440" w:header="72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42CF8" w14:textId="77777777" w:rsidR="00A35EA6" w:rsidRDefault="00A35EA6">
      <w:r>
        <w:separator/>
      </w:r>
    </w:p>
  </w:endnote>
  <w:endnote w:type="continuationSeparator" w:id="0">
    <w:p w14:paraId="7159F8D2" w14:textId="77777777" w:rsidR="00A35EA6" w:rsidRDefault="00A3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582206"/>
      <w:docPartObj>
        <w:docPartGallery w:val="Page Numbers (Bottom of Page)"/>
        <w:docPartUnique/>
      </w:docPartObj>
    </w:sdtPr>
    <w:sdtEndPr/>
    <w:sdtContent>
      <w:sdt>
        <w:sdtPr>
          <w:id w:val="-1769616900"/>
          <w:docPartObj>
            <w:docPartGallery w:val="Page Numbers (Top of Page)"/>
            <w:docPartUnique/>
          </w:docPartObj>
        </w:sdtPr>
        <w:sdtEndPr/>
        <w:sdtContent>
          <w:p w14:paraId="6CCDCFFA" w14:textId="23861712" w:rsidR="006E3F89" w:rsidRDefault="006E3F89">
            <w:pPr>
              <w:pStyle w:val="Footer"/>
              <w:jc w:val="right"/>
            </w:pPr>
            <w:r w:rsidRPr="006E3F89">
              <w:rPr>
                <w:rFonts w:asciiTheme="minorHAnsi" w:hAnsiTheme="minorHAnsi" w:cstheme="minorHAnsi"/>
                <w:sz w:val="20"/>
                <w:szCs w:val="20"/>
              </w:rPr>
              <w:t xml:space="preserve">Page </w:t>
            </w:r>
            <w:r w:rsidRPr="006E3F89">
              <w:rPr>
                <w:rFonts w:asciiTheme="minorHAnsi" w:hAnsiTheme="minorHAnsi" w:cstheme="minorHAnsi"/>
                <w:b/>
                <w:bCs/>
                <w:sz w:val="20"/>
                <w:szCs w:val="20"/>
              </w:rPr>
              <w:fldChar w:fldCharType="begin"/>
            </w:r>
            <w:r w:rsidRPr="006E3F89">
              <w:rPr>
                <w:rFonts w:asciiTheme="minorHAnsi" w:hAnsiTheme="minorHAnsi" w:cstheme="minorHAnsi"/>
                <w:b/>
                <w:bCs/>
                <w:sz w:val="20"/>
                <w:szCs w:val="20"/>
              </w:rPr>
              <w:instrText xml:space="preserve"> PAGE </w:instrText>
            </w:r>
            <w:r w:rsidRPr="006E3F89">
              <w:rPr>
                <w:rFonts w:asciiTheme="minorHAnsi" w:hAnsiTheme="minorHAnsi" w:cstheme="minorHAnsi"/>
                <w:b/>
                <w:bCs/>
                <w:sz w:val="20"/>
                <w:szCs w:val="20"/>
              </w:rPr>
              <w:fldChar w:fldCharType="separate"/>
            </w:r>
            <w:r w:rsidRPr="006E3F89">
              <w:rPr>
                <w:rFonts w:asciiTheme="minorHAnsi" w:hAnsiTheme="minorHAnsi" w:cstheme="minorHAnsi"/>
                <w:b/>
                <w:bCs/>
                <w:noProof/>
                <w:sz w:val="20"/>
                <w:szCs w:val="20"/>
              </w:rPr>
              <w:t>2</w:t>
            </w:r>
            <w:r w:rsidRPr="006E3F89">
              <w:rPr>
                <w:rFonts w:asciiTheme="minorHAnsi" w:hAnsiTheme="minorHAnsi" w:cstheme="minorHAnsi"/>
                <w:b/>
                <w:bCs/>
                <w:sz w:val="20"/>
                <w:szCs w:val="20"/>
              </w:rPr>
              <w:fldChar w:fldCharType="end"/>
            </w:r>
            <w:r w:rsidRPr="006E3F89">
              <w:rPr>
                <w:rFonts w:asciiTheme="minorHAnsi" w:hAnsiTheme="minorHAnsi" w:cstheme="minorHAnsi"/>
                <w:sz w:val="20"/>
                <w:szCs w:val="20"/>
              </w:rPr>
              <w:t xml:space="preserve"> of </w:t>
            </w:r>
            <w:r w:rsidRPr="006E3F89">
              <w:rPr>
                <w:rFonts w:asciiTheme="minorHAnsi" w:hAnsiTheme="minorHAnsi" w:cstheme="minorHAnsi"/>
                <w:b/>
                <w:bCs/>
                <w:sz w:val="20"/>
                <w:szCs w:val="20"/>
              </w:rPr>
              <w:fldChar w:fldCharType="begin"/>
            </w:r>
            <w:r w:rsidRPr="006E3F89">
              <w:rPr>
                <w:rFonts w:asciiTheme="minorHAnsi" w:hAnsiTheme="minorHAnsi" w:cstheme="minorHAnsi"/>
                <w:b/>
                <w:bCs/>
                <w:sz w:val="20"/>
                <w:szCs w:val="20"/>
              </w:rPr>
              <w:instrText xml:space="preserve"> NUMPAGES  </w:instrText>
            </w:r>
            <w:r w:rsidRPr="006E3F89">
              <w:rPr>
                <w:rFonts w:asciiTheme="minorHAnsi" w:hAnsiTheme="minorHAnsi" w:cstheme="minorHAnsi"/>
                <w:b/>
                <w:bCs/>
                <w:sz w:val="20"/>
                <w:szCs w:val="20"/>
              </w:rPr>
              <w:fldChar w:fldCharType="separate"/>
            </w:r>
            <w:r w:rsidRPr="006E3F89">
              <w:rPr>
                <w:rFonts w:asciiTheme="minorHAnsi" w:hAnsiTheme="minorHAnsi" w:cstheme="minorHAnsi"/>
                <w:b/>
                <w:bCs/>
                <w:noProof/>
                <w:sz w:val="20"/>
                <w:szCs w:val="20"/>
              </w:rPr>
              <w:t>2</w:t>
            </w:r>
            <w:r w:rsidRPr="006E3F89">
              <w:rPr>
                <w:rFonts w:asciiTheme="minorHAnsi" w:hAnsiTheme="minorHAnsi" w:cstheme="minorHAnsi"/>
                <w:b/>
                <w:bCs/>
                <w:sz w:val="20"/>
                <w:szCs w:val="20"/>
              </w:rPr>
              <w:fldChar w:fldCharType="end"/>
            </w:r>
          </w:p>
        </w:sdtContent>
      </w:sdt>
    </w:sdtContent>
  </w:sdt>
  <w:p w14:paraId="445C045A" w14:textId="2B7465A5" w:rsidR="00C22160" w:rsidRDefault="00C2216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281F" w14:textId="77777777" w:rsidR="00A35EA6" w:rsidRDefault="00A35EA6">
      <w:r>
        <w:separator/>
      </w:r>
    </w:p>
  </w:footnote>
  <w:footnote w:type="continuationSeparator" w:id="0">
    <w:p w14:paraId="599B9931" w14:textId="77777777" w:rsidR="00A35EA6" w:rsidRDefault="00A35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477A" w14:textId="77777777" w:rsidR="00B91312" w:rsidRPr="00B91312" w:rsidRDefault="00B91312" w:rsidP="00B91312">
    <w:pPr>
      <w:jc w:val="center"/>
      <w:rPr>
        <w:rFonts w:asciiTheme="minorHAnsi" w:hAnsiTheme="minorHAnsi" w:cstheme="minorHAnsi"/>
        <w:b/>
      </w:rPr>
    </w:pPr>
    <w:r w:rsidRPr="00B91312">
      <w:rPr>
        <w:rFonts w:asciiTheme="minorHAnsi" w:hAnsiTheme="minorHAnsi" w:cstheme="minorHAnsi"/>
        <w:b/>
      </w:rPr>
      <w:t>BLUEBONNET TRAILS COMMUNITY SERVICES</w:t>
    </w:r>
  </w:p>
  <w:tbl>
    <w:tblPr>
      <w:tblW w:w="0" w:type="auto"/>
      <w:tblLook w:val="01E0" w:firstRow="1" w:lastRow="1" w:firstColumn="1" w:lastColumn="1" w:noHBand="0" w:noVBand="0"/>
    </w:tblPr>
    <w:tblGrid>
      <w:gridCol w:w="4681"/>
      <w:gridCol w:w="4679"/>
    </w:tblGrid>
    <w:tr w:rsidR="003049D8" w:rsidRPr="00B91312" w14:paraId="6440960A" w14:textId="77777777" w:rsidTr="00F2585D">
      <w:trPr>
        <w:trHeight w:val="288"/>
      </w:trPr>
      <w:tc>
        <w:tcPr>
          <w:tcW w:w="4788" w:type="dxa"/>
        </w:tcPr>
        <w:p w14:paraId="1A291B18" w14:textId="54387FC9" w:rsidR="00B91312" w:rsidRPr="00B91312" w:rsidRDefault="00B91312" w:rsidP="00B91312">
          <w:pPr>
            <w:pStyle w:val="Header"/>
            <w:rPr>
              <w:rFonts w:asciiTheme="minorHAnsi" w:hAnsiTheme="minorHAnsi" w:cstheme="minorHAnsi"/>
            </w:rPr>
          </w:pPr>
          <w:r w:rsidRPr="00B91312">
            <w:rPr>
              <w:rFonts w:asciiTheme="minorHAnsi" w:hAnsiTheme="minorHAnsi" w:cstheme="minorHAnsi"/>
            </w:rPr>
            <w:t xml:space="preserve">Original effective date:  </w:t>
          </w:r>
          <w:r w:rsidR="00AB7DC0">
            <w:rPr>
              <w:rFonts w:asciiTheme="minorHAnsi" w:hAnsiTheme="minorHAnsi" w:cstheme="minorHAnsi"/>
            </w:rPr>
            <w:t>10</w:t>
          </w:r>
          <w:r>
            <w:rPr>
              <w:rFonts w:asciiTheme="minorHAnsi" w:hAnsiTheme="minorHAnsi" w:cstheme="minorHAnsi"/>
            </w:rPr>
            <w:t>/</w:t>
          </w:r>
          <w:r w:rsidR="00AB7DC0">
            <w:rPr>
              <w:rFonts w:asciiTheme="minorHAnsi" w:hAnsiTheme="minorHAnsi" w:cstheme="minorHAnsi"/>
            </w:rPr>
            <w:t>1</w:t>
          </w:r>
          <w:r>
            <w:rPr>
              <w:rFonts w:asciiTheme="minorHAnsi" w:hAnsiTheme="minorHAnsi" w:cstheme="minorHAnsi"/>
            </w:rPr>
            <w:t>/2022</w:t>
          </w:r>
        </w:p>
      </w:tc>
      <w:tc>
        <w:tcPr>
          <w:tcW w:w="4788" w:type="dxa"/>
        </w:tcPr>
        <w:p w14:paraId="3601204A" w14:textId="77777777" w:rsidR="00B91312" w:rsidRPr="00B91312" w:rsidRDefault="00B91312" w:rsidP="00B91312">
          <w:pPr>
            <w:pStyle w:val="Header"/>
            <w:jc w:val="right"/>
            <w:rPr>
              <w:rFonts w:asciiTheme="minorHAnsi" w:hAnsiTheme="minorHAnsi" w:cstheme="minorHAnsi"/>
            </w:rPr>
          </w:pPr>
          <w:r w:rsidRPr="00B91312">
            <w:rPr>
              <w:rFonts w:asciiTheme="minorHAnsi" w:hAnsiTheme="minorHAnsi" w:cstheme="minorHAnsi"/>
            </w:rPr>
            <w:t>Operating Procedure</w:t>
          </w:r>
        </w:p>
      </w:tc>
    </w:tr>
    <w:tr w:rsidR="003049D8" w:rsidRPr="00B91312" w14:paraId="1B25D59D" w14:textId="77777777" w:rsidTr="00F2585D">
      <w:trPr>
        <w:trHeight w:val="288"/>
      </w:trPr>
      <w:tc>
        <w:tcPr>
          <w:tcW w:w="4788" w:type="dxa"/>
        </w:tcPr>
        <w:p w14:paraId="1CC8F1B3" w14:textId="475F8AB5" w:rsidR="00B91312" w:rsidRPr="00B91312" w:rsidRDefault="00B91312" w:rsidP="00B91312">
          <w:pPr>
            <w:pStyle w:val="Header"/>
            <w:rPr>
              <w:rFonts w:asciiTheme="minorHAnsi" w:hAnsiTheme="minorHAnsi" w:cstheme="minorHAnsi"/>
            </w:rPr>
          </w:pPr>
          <w:r w:rsidRPr="00B91312">
            <w:rPr>
              <w:rFonts w:asciiTheme="minorHAnsi" w:hAnsiTheme="minorHAnsi" w:cstheme="minorHAnsi"/>
            </w:rPr>
            <w:t xml:space="preserve">Revised:  </w:t>
          </w:r>
          <w:r w:rsidR="00224FF5">
            <w:rPr>
              <w:rFonts w:asciiTheme="minorHAnsi" w:hAnsiTheme="minorHAnsi" w:cstheme="minorHAnsi"/>
            </w:rPr>
            <w:t>8</w:t>
          </w:r>
          <w:r w:rsidR="00A431ED">
            <w:rPr>
              <w:rFonts w:asciiTheme="minorHAnsi" w:hAnsiTheme="minorHAnsi" w:cstheme="minorHAnsi"/>
            </w:rPr>
            <w:t>/2</w:t>
          </w:r>
          <w:r w:rsidR="00224FF5">
            <w:rPr>
              <w:rFonts w:asciiTheme="minorHAnsi" w:hAnsiTheme="minorHAnsi" w:cstheme="minorHAnsi"/>
            </w:rPr>
            <w:t>5</w:t>
          </w:r>
          <w:r w:rsidR="00A431ED">
            <w:rPr>
              <w:rFonts w:asciiTheme="minorHAnsi" w:hAnsiTheme="minorHAnsi" w:cstheme="minorHAnsi"/>
            </w:rPr>
            <w:t>/2023</w:t>
          </w:r>
          <w:r w:rsidR="00437763">
            <w:rPr>
              <w:rFonts w:asciiTheme="minorHAnsi" w:hAnsiTheme="minorHAnsi" w:cstheme="minorHAnsi"/>
            </w:rPr>
            <w:t>; 12/8/2023</w:t>
          </w:r>
        </w:p>
      </w:tc>
      <w:tc>
        <w:tcPr>
          <w:tcW w:w="4788" w:type="dxa"/>
        </w:tcPr>
        <w:p w14:paraId="63ED215D" w14:textId="3FB614F5" w:rsidR="00B91312" w:rsidRPr="00B91312" w:rsidRDefault="00AB7DC0" w:rsidP="00B91312">
          <w:pPr>
            <w:pStyle w:val="Header"/>
            <w:jc w:val="right"/>
            <w:rPr>
              <w:rFonts w:asciiTheme="minorHAnsi" w:hAnsiTheme="minorHAnsi" w:cstheme="minorHAnsi"/>
            </w:rPr>
          </w:pPr>
          <w:r w:rsidRPr="00AB7DC0">
            <w:rPr>
              <w:rFonts w:asciiTheme="minorHAnsi" w:hAnsiTheme="minorHAnsi" w:cstheme="minorHAnsi"/>
            </w:rPr>
            <w:t xml:space="preserve">1115 </w:t>
          </w:r>
          <w:r>
            <w:rPr>
              <w:rFonts w:asciiTheme="minorHAnsi" w:hAnsiTheme="minorHAnsi" w:cstheme="minorHAnsi"/>
            </w:rPr>
            <w:t>E</w:t>
          </w:r>
          <w:r w:rsidRPr="00AB7DC0">
            <w:rPr>
              <w:rFonts w:asciiTheme="minorHAnsi" w:hAnsiTheme="minorHAnsi" w:cstheme="minorHAnsi"/>
            </w:rPr>
            <w:t xml:space="preserve">xtension </w:t>
          </w:r>
          <w:r w:rsidR="00B91312" w:rsidRPr="00B91312">
            <w:rPr>
              <w:rFonts w:asciiTheme="minorHAnsi" w:hAnsiTheme="minorHAnsi" w:cstheme="minorHAnsi"/>
            </w:rPr>
            <w:t>Services</w:t>
          </w:r>
        </w:p>
      </w:tc>
    </w:tr>
    <w:tr w:rsidR="003049D8" w:rsidRPr="00B91312" w14:paraId="2A95C548" w14:textId="77777777" w:rsidTr="00F2585D">
      <w:trPr>
        <w:trHeight w:val="288"/>
      </w:trPr>
      <w:tc>
        <w:tcPr>
          <w:tcW w:w="4788" w:type="dxa"/>
        </w:tcPr>
        <w:p w14:paraId="15809FEF" w14:textId="58E99F2E" w:rsidR="00B91312" w:rsidRPr="00B91312" w:rsidRDefault="00B91312" w:rsidP="00B91312">
          <w:pPr>
            <w:pStyle w:val="Header"/>
            <w:rPr>
              <w:rFonts w:asciiTheme="minorHAnsi" w:hAnsiTheme="minorHAnsi" w:cstheme="minorHAnsi"/>
            </w:rPr>
          </w:pPr>
          <w:r w:rsidRPr="00B91312">
            <w:rPr>
              <w:rFonts w:asciiTheme="minorHAnsi" w:hAnsiTheme="minorHAnsi" w:cstheme="minorHAnsi"/>
            </w:rPr>
            <w:t>Approved:</w:t>
          </w:r>
          <w:r w:rsidR="003049D8">
            <w:rPr>
              <w:rFonts w:asciiTheme="minorHAnsi" w:hAnsiTheme="minorHAnsi" w:cstheme="minorHAnsi"/>
            </w:rPr>
            <w:t xml:space="preserve"> </w:t>
          </w:r>
          <w:r w:rsidR="003049D8">
            <w:rPr>
              <w:rFonts w:asciiTheme="minorHAnsi" w:hAnsiTheme="minorHAnsi" w:cstheme="minorHAnsi"/>
              <w:noProof/>
            </w:rPr>
            <w:drawing>
              <wp:anchor distT="0" distB="0" distL="114300" distR="114300" simplePos="0" relativeHeight="251658240" behindDoc="0" locked="0" layoutInCell="1" allowOverlap="1" wp14:anchorId="158C7EDB" wp14:editId="771A6639">
                <wp:simplePos x="0" y="0"/>
                <wp:positionH relativeFrom="column">
                  <wp:posOffset>626745</wp:posOffset>
                </wp:positionH>
                <wp:positionV relativeFrom="paragraph">
                  <wp:posOffset>-3175</wp:posOffset>
                </wp:positionV>
                <wp:extent cx="857250" cy="213995"/>
                <wp:effectExtent l="0" t="0" r="0" b="0"/>
                <wp:wrapNone/>
                <wp:docPr id="1610009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09068" name="Picture 1610009068"/>
                        <pic:cNvPicPr/>
                      </pic:nvPicPr>
                      <pic:blipFill>
                        <a:blip r:embed="rId1">
                          <a:extLst>
                            <a:ext uri="{28A0092B-C50C-407E-A947-70E740481C1C}">
                              <a14:useLocalDpi xmlns:a14="http://schemas.microsoft.com/office/drawing/2010/main" val="0"/>
                            </a:ext>
                          </a:extLst>
                        </a:blip>
                        <a:stretch>
                          <a:fillRect/>
                        </a:stretch>
                      </pic:blipFill>
                      <pic:spPr>
                        <a:xfrm>
                          <a:off x="0" y="0"/>
                          <a:ext cx="857250" cy="213995"/>
                        </a:xfrm>
                        <a:prstGeom prst="rect">
                          <a:avLst/>
                        </a:prstGeom>
                      </pic:spPr>
                    </pic:pic>
                  </a:graphicData>
                </a:graphic>
              </wp:anchor>
            </w:drawing>
          </w:r>
        </w:p>
      </w:tc>
      <w:tc>
        <w:tcPr>
          <w:tcW w:w="4788" w:type="dxa"/>
        </w:tcPr>
        <w:p w14:paraId="09A0DC24" w14:textId="77777777" w:rsidR="00B91312" w:rsidRDefault="00A232AD" w:rsidP="00B91312">
          <w:pPr>
            <w:pStyle w:val="Header"/>
            <w:jc w:val="right"/>
            <w:rPr>
              <w:rFonts w:asciiTheme="minorHAnsi" w:hAnsiTheme="minorHAnsi" w:cstheme="minorHAnsi"/>
            </w:rPr>
          </w:pPr>
          <w:r>
            <w:rPr>
              <w:rFonts w:asciiTheme="minorHAnsi" w:hAnsiTheme="minorHAnsi" w:cstheme="minorHAnsi"/>
            </w:rPr>
            <w:t>Charity Care Procedure</w:t>
          </w:r>
        </w:p>
        <w:p w14:paraId="02845AA3" w14:textId="5BBD5633" w:rsidR="00246AD5" w:rsidRPr="00B91312" w:rsidRDefault="00246AD5" w:rsidP="00B91312">
          <w:pPr>
            <w:pStyle w:val="Header"/>
            <w:jc w:val="right"/>
            <w:rPr>
              <w:rFonts w:asciiTheme="minorHAnsi" w:hAnsiTheme="minorHAnsi" w:cstheme="minorHAnsi"/>
            </w:rPr>
          </w:pPr>
        </w:p>
      </w:tc>
    </w:tr>
  </w:tbl>
  <w:p w14:paraId="633A0957" w14:textId="4EBE0716" w:rsidR="00C22160" w:rsidRDefault="00C2216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1ADA"/>
    <w:multiLevelType w:val="hybridMultilevel"/>
    <w:tmpl w:val="C4D0DB62"/>
    <w:lvl w:ilvl="0" w:tplc="56C2B038">
      <w:start w:val="1"/>
      <w:numFmt w:val="decimal"/>
      <w:lvlText w:val="%1."/>
      <w:lvlJc w:val="left"/>
      <w:pPr>
        <w:ind w:left="1540" w:hanging="360"/>
      </w:pPr>
      <w:rPr>
        <w:rFonts w:ascii="Calibri" w:eastAsia="Times New Roman" w:hAnsi="Calibri" w:cs="Times New Roman"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06B44ADE"/>
    <w:multiLevelType w:val="hybridMultilevel"/>
    <w:tmpl w:val="CAB0796A"/>
    <w:lvl w:ilvl="0" w:tplc="FFFFFFFF">
      <w:start w:val="1"/>
      <w:numFmt w:val="upperLetter"/>
      <w:lvlText w:val="%1."/>
      <w:lvlJc w:val="left"/>
      <w:pPr>
        <w:ind w:left="820" w:hanging="720"/>
        <w:jc w:val="right"/>
      </w:pPr>
      <w:rPr>
        <w:rFonts w:asciiTheme="minorHAnsi" w:eastAsia="Segoe UI" w:hAnsiTheme="minorHAnsi" w:cstheme="minorHAnsi" w:hint="default"/>
        <w:b w:val="0"/>
        <w:bCs w:val="0"/>
        <w:i w:val="0"/>
        <w:iCs w:val="0"/>
        <w:spacing w:val="0"/>
        <w:w w:val="100"/>
        <w:sz w:val="22"/>
        <w:szCs w:val="22"/>
        <w:lang w:val="en-US" w:eastAsia="en-US" w:bidi="ar-SA"/>
      </w:rPr>
    </w:lvl>
    <w:lvl w:ilvl="1" w:tplc="FFFFFFFF">
      <w:start w:val="1"/>
      <w:numFmt w:val="decimal"/>
      <w:lvlText w:val="%2."/>
      <w:lvlJc w:val="left"/>
      <w:pPr>
        <w:ind w:left="1540" w:hanging="720"/>
        <w:jc w:val="left"/>
      </w:pPr>
      <w:rPr>
        <w:rFonts w:asciiTheme="minorHAnsi" w:eastAsia="Segoe UI" w:hAnsiTheme="minorHAnsi" w:cstheme="minorHAnsi" w:hint="default"/>
        <w:b w:val="0"/>
        <w:bCs w:val="0"/>
        <w:i w:val="0"/>
        <w:iCs w:val="0"/>
        <w:w w:val="100"/>
        <w:sz w:val="22"/>
        <w:szCs w:val="22"/>
        <w:lang w:val="en-US" w:eastAsia="en-US" w:bidi="ar-SA"/>
      </w:rPr>
    </w:lvl>
    <w:lvl w:ilvl="2" w:tplc="FFFFFFFF">
      <w:start w:val="1"/>
      <w:numFmt w:val="lowerLetter"/>
      <w:lvlText w:val="%3."/>
      <w:lvlJc w:val="left"/>
      <w:pPr>
        <w:ind w:left="2260" w:hanging="720"/>
        <w:jc w:val="left"/>
      </w:pPr>
      <w:rPr>
        <w:rFonts w:asciiTheme="minorHAnsi" w:eastAsia="Segoe UI" w:hAnsiTheme="minorHAnsi" w:cstheme="minorHAnsi" w:hint="default"/>
        <w:b w:val="0"/>
        <w:bCs w:val="0"/>
        <w:i w:val="0"/>
        <w:iCs w:val="0"/>
        <w:w w:val="100"/>
        <w:sz w:val="22"/>
        <w:szCs w:val="22"/>
        <w:lang w:val="en-US" w:eastAsia="en-US" w:bidi="ar-SA"/>
      </w:rPr>
    </w:lvl>
    <w:lvl w:ilvl="3" w:tplc="FFFFFFFF">
      <w:numFmt w:val="bullet"/>
      <w:lvlText w:val="•"/>
      <w:lvlJc w:val="left"/>
      <w:pPr>
        <w:ind w:left="3175" w:hanging="720"/>
      </w:pPr>
      <w:rPr>
        <w:rFonts w:hint="default"/>
        <w:lang w:val="en-US" w:eastAsia="en-US" w:bidi="ar-SA"/>
      </w:rPr>
    </w:lvl>
    <w:lvl w:ilvl="4" w:tplc="FFFFFFFF">
      <w:numFmt w:val="bullet"/>
      <w:lvlText w:val="•"/>
      <w:lvlJc w:val="left"/>
      <w:pPr>
        <w:ind w:left="4090" w:hanging="720"/>
      </w:pPr>
      <w:rPr>
        <w:rFonts w:hint="default"/>
        <w:lang w:val="en-US" w:eastAsia="en-US" w:bidi="ar-SA"/>
      </w:rPr>
    </w:lvl>
    <w:lvl w:ilvl="5" w:tplc="FFFFFFFF">
      <w:numFmt w:val="bullet"/>
      <w:lvlText w:val="•"/>
      <w:lvlJc w:val="left"/>
      <w:pPr>
        <w:ind w:left="5005" w:hanging="720"/>
      </w:pPr>
      <w:rPr>
        <w:rFonts w:hint="default"/>
        <w:lang w:val="en-US" w:eastAsia="en-US" w:bidi="ar-SA"/>
      </w:rPr>
    </w:lvl>
    <w:lvl w:ilvl="6" w:tplc="FFFFFFFF">
      <w:numFmt w:val="bullet"/>
      <w:lvlText w:val="•"/>
      <w:lvlJc w:val="left"/>
      <w:pPr>
        <w:ind w:left="5920" w:hanging="720"/>
      </w:pPr>
      <w:rPr>
        <w:rFonts w:hint="default"/>
        <w:lang w:val="en-US" w:eastAsia="en-US" w:bidi="ar-SA"/>
      </w:rPr>
    </w:lvl>
    <w:lvl w:ilvl="7" w:tplc="FFFFFFFF">
      <w:numFmt w:val="bullet"/>
      <w:lvlText w:val="•"/>
      <w:lvlJc w:val="left"/>
      <w:pPr>
        <w:ind w:left="6835" w:hanging="720"/>
      </w:pPr>
      <w:rPr>
        <w:rFonts w:hint="default"/>
        <w:lang w:val="en-US" w:eastAsia="en-US" w:bidi="ar-SA"/>
      </w:rPr>
    </w:lvl>
    <w:lvl w:ilvl="8" w:tplc="FFFFFFFF">
      <w:numFmt w:val="bullet"/>
      <w:lvlText w:val="•"/>
      <w:lvlJc w:val="left"/>
      <w:pPr>
        <w:ind w:left="7750" w:hanging="720"/>
      </w:pPr>
      <w:rPr>
        <w:rFonts w:hint="default"/>
        <w:lang w:val="en-US" w:eastAsia="en-US" w:bidi="ar-SA"/>
      </w:rPr>
    </w:lvl>
  </w:abstractNum>
  <w:abstractNum w:abstractNumId="2" w15:restartNumberingAfterBreak="0">
    <w:nsid w:val="235353BA"/>
    <w:multiLevelType w:val="multilevel"/>
    <w:tmpl w:val="8FAA0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703AC7"/>
    <w:multiLevelType w:val="hybridMultilevel"/>
    <w:tmpl w:val="0DCA8120"/>
    <w:lvl w:ilvl="0" w:tplc="1AD83FD4">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05B44C0C">
      <w:numFmt w:val="bullet"/>
      <w:lvlText w:val="•"/>
      <w:lvlJc w:val="left"/>
      <w:pPr>
        <w:ind w:left="1696" w:hanging="360"/>
      </w:pPr>
      <w:rPr>
        <w:rFonts w:hint="default"/>
        <w:lang w:val="en-US" w:eastAsia="en-US" w:bidi="ar-SA"/>
      </w:rPr>
    </w:lvl>
    <w:lvl w:ilvl="2" w:tplc="FDBA7AE0">
      <w:numFmt w:val="bullet"/>
      <w:lvlText w:val="•"/>
      <w:lvlJc w:val="left"/>
      <w:pPr>
        <w:ind w:left="2572" w:hanging="360"/>
      </w:pPr>
      <w:rPr>
        <w:rFonts w:hint="default"/>
        <w:lang w:val="en-US" w:eastAsia="en-US" w:bidi="ar-SA"/>
      </w:rPr>
    </w:lvl>
    <w:lvl w:ilvl="3" w:tplc="65F25C78">
      <w:numFmt w:val="bullet"/>
      <w:lvlText w:val="•"/>
      <w:lvlJc w:val="left"/>
      <w:pPr>
        <w:ind w:left="3448" w:hanging="360"/>
      </w:pPr>
      <w:rPr>
        <w:rFonts w:hint="default"/>
        <w:lang w:val="en-US" w:eastAsia="en-US" w:bidi="ar-SA"/>
      </w:rPr>
    </w:lvl>
    <w:lvl w:ilvl="4" w:tplc="E73214F2">
      <w:numFmt w:val="bullet"/>
      <w:lvlText w:val="•"/>
      <w:lvlJc w:val="left"/>
      <w:pPr>
        <w:ind w:left="4324" w:hanging="360"/>
      </w:pPr>
      <w:rPr>
        <w:rFonts w:hint="default"/>
        <w:lang w:val="en-US" w:eastAsia="en-US" w:bidi="ar-SA"/>
      </w:rPr>
    </w:lvl>
    <w:lvl w:ilvl="5" w:tplc="0EB0F92E">
      <w:numFmt w:val="bullet"/>
      <w:lvlText w:val="•"/>
      <w:lvlJc w:val="left"/>
      <w:pPr>
        <w:ind w:left="5200" w:hanging="360"/>
      </w:pPr>
      <w:rPr>
        <w:rFonts w:hint="default"/>
        <w:lang w:val="en-US" w:eastAsia="en-US" w:bidi="ar-SA"/>
      </w:rPr>
    </w:lvl>
    <w:lvl w:ilvl="6" w:tplc="EFB0E408">
      <w:numFmt w:val="bullet"/>
      <w:lvlText w:val="•"/>
      <w:lvlJc w:val="left"/>
      <w:pPr>
        <w:ind w:left="6076" w:hanging="360"/>
      </w:pPr>
      <w:rPr>
        <w:rFonts w:hint="default"/>
        <w:lang w:val="en-US" w:eastAsia="en-US" w:bidi="ar-SA"/>
      </w:rPr>
    </w:lvl>
    <w:lvl w:ilvl="7" w:tplc="97AAFC5A">
      <w:numFmt w:val="bullet"/>
      <w:lvlText w:val="•"/>
      <w:lvlJc w:val="left"/>
      <w:pPr>
        <w:ind w:left="6952" w:hanging="360"/>
      </w:pPr>
      <w:rPr>
        <w:rFonts w:hint="default"/>
        <w:lang w:val="en-US" w:eastAsia="en-US" w:bidi="ar-SA"/>
      </w:rPr>
    </w:lvl>
    <w:lvl w:ilvl="8" w:tplc="A7282AE8">
      <w:numFmt w:val="bullet"/>
      <w:lvlText w:val="•"/>
      <w:lvlJc w:val="left"/>
      <w:pPr>
        <w:ind w:left="7828" w:hanging="360"/>
      </w:pPr>
      <w:rPr>
        <w:rFonts w:hint="default"/>
        <w:lang w:val="en-US" w:eastAsia="en-US" w:bidi="ar-SA"/>
      </w:rPr>
    </w:lvl>
  </w:abstractNum>
  <w:abstractNum w:abstractNumId="4" w15:restartNumberingAfterBreak="0">
    <w:nsid w:val="27D55AD7"/>
    <w:multiLevelType w:val="hybridMultilevel"/>
    <w:tmpl w:val="CAB0796A"/>
    <w:lvl w:ilvl="0" w:tplc="FFFFFFFF">
      <w:start w:val="1"/>
      <w:numFmt w:val="upperLetter"/>
      <w:lvlText w:val="%1."/>
      <w:lvlJc w:val="left"/>
      <w:pPr>
        <w:ind w:left="820" w:hanging="720"/>
        <w:jc w:val="right"/>
      </w:pPr>
      <w:rPr>
        <w:rFonts w:asciiTheme="minorHAnsi" w:eastAsia="Segoe UI" w:hAnsiTheme="minorHAnsi" w:cstheme="minorHAnsi" w:hint="default"/>
        <w:b w:val="0"/>
        <w:bCs w:val="0"/>
        <w:i w:val="0"/>
        <w:iCs w:val="0"/>
        <w:spacing w:val="0"/>
        <w:w w:val="100"/>
        <w:sz w:val="22"/>
        <w:szCs w:val="22"/>
        <w:lang w:val="en-US" w:eastAsia="en-US" w:bidi="ar-SA"/>
      </w:rPr>
    </w:lvl>
    <w:lvl w:ilvl="1" w:tplc="FFFFFFFF">
      <w:start w:val="1"/>
      <w:numFmt w:val="decimal"/>
      <w:lvlText w:val="%2."/>
      <w:lvlJc w:val="left"/>
      <w:pPr>
        <w:ind w:left="1540" w:hanging="720"/>
        <w:jc w:val="left"/>
      </w:pPr>
      <w:rPr>
        <w:rFonts w:asciiTheme="minorHAnsi" w:eastAsia="Segoe UI" w:hAnsiTheme="minorHAnsi" w:cstheme="minorHAnsi" w:hint="default"/>
        <w:b w:val="0"/>
        <w:bCs w:val="0"/>
        <w:i w:val="0"/>
        <w:iCs w:val="0"/>
        <w:w w:val="100"/>
        <w:sz w:val="22"/>
        <w:szCs w:val="22"/>
        <w:lang w:val="en-US" w:eastAsia="en-US" w:bidi="ar-SA"/>
      </w:rPr>
    </w:lvl>
    <w:lvl w:ilvl="2" w:tplc="63681EF8">
      <w:start w:val="1"/>
      <w:numFmt w:val="lowerLetter"/>
      <w:lvlText w:val="%3."/>
      <w:lvlJc w:val="left"/>
      <w:pPr>
        <w:ind w:left="2260" w:hanging="720"/>
        <w:jc w:val="left"/>
      </w:pPr>
      <w:rPr>
        <w:rFonts w:asciiTheme="minorHAnsi" w:eastAsia="Segoe UI" w:hAnsiTheme="minorHAnsi" w:cstheme="minorHAnsi" w:hint="default"/>
        <w:b w:val="0"/>
        <w:bCs w:val="0"/>
        <w:i w:val="0"/>
        <w:iCs w:val="0"/>
        <w:w w:val="100"/>
        <w:sz w:val="22"/>
        <w:szCs w:val="22"/>
        <w:lang w:val="en-US" w:eastAsia="en-US" w:bidi="ar-SA"/>
      </w:rPr>
    </w:lvl>
    <w:lvl w:ilvl="3" w:tplc="FFFFFFFF">
      <w:numFmt w:val="bullet"/>
      <w:lvlText w:val="•"/>
      <w:lvlJc w:val="left"/>
      <w:pPr>
        <w:ind w:left="3175" w:hanging="720"/>
      </w:pPr>
      <w:rPr>
        <w:rFonts w:hint="default"/>
        <w:lang w:val="en-US" w:eastAsia="en-US" w:bidi="ar-SA"/>
      </w:rPr>
    </w:lvl>
    <w:lvl w:ilvl="4" w:tplc="FFFFFFFF">
      <w:numFmt w:val="bullet"/>
      <w:lvlText w:val="•"/>
      <w:lvlJc w:val="left"/>
      <w:pPr>
        <w:ind w:left="4090" w:hanging="720"/>
      </w:pPr>
      <w:rPr>
        <w:rFonts w:hint="default"/>
        <w:lang w:val="en-US" w:eastAsia="en-US" w:bidi="ar-SA"/>
      </w:rPr>
    </w:lvl>
    <w:lvl w:ilvl="5" w:tplc="FFFFFFFF">
      <w:numFmt w:val="bullet"/>
      <w:lvlText w:val="•"/>
      <w:lvlJc w:val="left"/>
      <w:pPr>
        <w:ind w:left="5005" w:hanging="720"/>
      </w:pPr>
      <w:rPr>
        <w:rFonts w:hint="default"/>
        <w:lang w:val="en-US" w:eastAsia="en-US" w:bidi="ar-SA"/>
      </w:rPr>
    </w:lvl>
    <w:lvl w:ilvl="6" w:tplc="FFFFFFFF">
      <w:numFmt w:val="bullet"/>
      <w:lvlText w:val="•"/>
      <w:lvlJc w:val="left"/>
      <w:pPr>
        <w:ind w:left="5920" w:hanging="720"/>
      </w:pPr>
      <w:rPr>
        <w:rFonts w:hint="default"/>
        <w:lang w:val="en-US" w:eastAsia="en-US" w:bidi="ar-SA"/>
      </w:rPr>
    </w:lvl>
    <w:lvl w:ilvl="7" w:tplc="FFFFFFFF">
      <w:numFmt w:val="bullet"/>
      <w:lvlText w:val="•"/>
      <w:lvlJc w:val="left"/>
      <w:pPr>
        <w:ind w:left="6835" w:hanging="720"/>
      </w:pPr>
      <w:rPr>
        <w:rFonts w:hint="default"/>
        <w:lang w:val="en-US" w:eastAsia="en-US" w:bidi="ar-SA"/>
      </w:rPr>
    </w:lvl>
    <w:lvl w:ilvl="8" w:tplc="FFFFFFFF">
      <w:numFmt w:val="bullet"/>
      <w:lvlText w:val="•"/>
      <w:lvlJc w:val="left"/>
      <w:pPr>
        <w:ind w:left="7750" w:hanging="720"/>
      </w:pPr>
      <w:rPr>
        <w:rFonts w:hint="default"/>
        <w:lang w:val="en-US" w:eastAsia="en-US" w:bidi="ar-SA"/>
      </w:rPr>
    </w:lvl>
  </w:abstractNum>
  <w:abstractNum w:abstractNumId="5" w15:restartNumberingAfterBreak="0">
    <w:nsid w:val="368A05FE"/>
    <w:multiLevelType w:val="multilevel"/>
    <w:tmpl w:val="09149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847829"/>
    <w:multiLevelType w:val="hybridMultilevel"/>
    <w:tmpl w:val="0D64258A"/>
    <w:lvl w:ilvl="0" w:tplc="56C2B038">
      <w:start w:val="1"/>
      <w:numFmt w:val="decimal"/>
      <w:lvlText w:val="%1."/>
      <w:lvlJc w:val="left"/>
      <w:pPr>
        <w:ind w:left="72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27A68"/>
    <w:multiLevelType w:val="hybridMultilevel"/>
    <w:tmpl w:val="CAB0796A"/>
    <w:lvl w:ilvl="0" w:tplc="FFFFFFFF">
      <w:start w:val="1"/>
      <w:numFmt w:val="upperLetter"/>
      <w:lvlText w:val="%1."/>
      <w:lvlJc w:val="left"/>
      <w:pPr>
        <w:ind w:left="820" w:hanging="720"/>
        <w:jc w:val="right"/>
      </w:pPr>
      <w:rPr>
        <w:rFonts w:asciiTheme="minorHAnsi" w:eastAsia="Segoe UI" w:hAnsiTheme="minorHAnsi" w:cstheme="minorHAnsi" w:hint="default"/>
        <w:b w:val="0"/>
        <w:bCs w:val="0"/>
        <w:i w:val="0"/>
        <w:iCs w:val="0"/>
        <w:spacing w:val="0"/>
        <w:w w:val="100"/>
        <w:sz w:val="22"/>
        <w:szCs w:val="22"/>
        <w:lang w:val="en-US" w:eastAsia="en-US" w:bidi="ar-SA"/>
      </w:rPr>
    </w:lvl>
    <w:lvl w:ilvl="1" w:tplc="FFFFFFFF">
      <w:start w:val="1"/>
      <w:numFmt w:val="decimal"/>
      <w:lvlText w:val="%2."/>
      <w:lvlJc w:val="left"/>
      <w:pPr>
        <w:ind w:left="1540" w:hanging="720"/>
        <w:jc w:val="left"/>
      </w:pPr>
      <w:rPr>
        <w:rFonts w:asciiTheme="minorHAnsi" w:eastAsia="Segoe UI" w:hAnsiTheme="minorHAnsi" w:cstheme="minorHAnsi" w:hint="default"/>
        <w:b w:val="0"/>
        <w:bCs w:val="0"/>
        <w:i w:val="0"/>
        <w:iCs w:val="0"/>
        <w:w w:val="100"/>
        <w:sz w:val="22"/>
        <w:szCs w:val="22"/>
        <w:lang w:val="en-US" w:eastAsia="en-US" w:bidi="ar-SA"/>
      </w:rPr>
    </w:lvl>
    <w:lvl w:ilvl="2" w:tplc="FFFFFFFF">
      <w:start w:val="1"/>
      <w:numFmt w:val="lowerLetter"/>
      <w:lvlText w:val="%3."/>
      <w:lvlJc w:val="left"/>
      <w:pPr>
        <w:ind w:left="2260" w:hanging="720"/>
        <w:jc w:val="left"/>
      </w:pPr>
      <w:rPr>
        <w:rFonts w:asciiTheme="minorHAnsi" w:eastAsia="Segoe UI" w:hAnsiTheme="minorHAnsi" w:cstheme="minorHAnsi" w:hint="default"/>
        <w:b w:val="0"/>
        <w:bCs w:val="0"/>
        <w:i w:val="0"/>
        <w:iCs w:val="0"/>
        <w:w w:val="100"/>
        <w:sz w:val="22"/>
        <w:szCs w:val="22"/>
        <w:lang w:val="en-US" w:eastAsia="en-US" w:bidi="ar-SA"/>
      </w:rPr>
    </w:lvl>
    <w:lvl w:ilvl="3" w:tplc="FFFFFFFF">
      <w:numFmt w:val="bullet"/>
      <w:lvlText w:val="•"/>
      <w:lvlJc w:val="left"/>
      <w:pPr>
        <w:ind w:left="3175" w:hanging="720"/>
      </w:pPr>
      <w:rPr>
        <w:rFonts w:hint="default"/>
        <w:lang w:val="en-US" w:eastAsia="en-US" w:bidi="ar-SA"/>
      </w:rPr>
    </w:lvl>
    <w:lvl w:ilvl="4" w:tplc="FFFFFFFF">
      <w:numFmt w:val="bullet"/>
      <w:lvlText w:val="•"/>
      <w:lvlJc w:val="left"/>
      <w:pPr>
        <w:ind w:left="4090" w:hanging="720"/>
      </w:pPr>
      <w:rPr>
        <w:rFonts w:hint="default"/>
        <w:lang w:val="en-US" w:eastAsia="en-US" w:bidi="ar-SA"/>
      </w:rPr>
    </w:lvl>
    <w:lvl w:ilvl="5" w:tplc="FFFFFFFF">
      <w:numFmt w:val="bullet"/>
      <w:lvlText w:val="•"/>
      <w:lvlJc w:val="left"/>
      <w:pPr>
        <w:ind w:left="5005" w:hanging="720"/>
      </w:pPr>
      <w:rPr>
        <w:rFonts w:hint="default"/>
        <w:lang w:val="en-US" w:eastAsia="en-US" w:bidi="ar-SA"/>
      </w:rPr>
    </w:lvl>
    <w:lvl w:ilvl="6" w:tplc="FFFFFFFF">
      <w:numFmt w:val="bullet"/>
      <w:lvlText w:val="•"/>
      <w:lvlJc w:val="left"/>
      <w:pPr>
        <w:ind w:left="5920" w:hanging="720"/>
      </w:pPr>
      <w:rPr>
        <w:rFonts w:hint="default"/>
        <w:lang w:val="en-US" w:eastAsia="en-US" w:bidi="ar-SA"/>
      </w:rPr>
    </w:lvl>
    <w:lvl w:ilvl="7" w:tplc="FFFFFFFF">
      <w:numFmt w:val="bullet"/>
      <w:lvlText w:val="•"/>
      <w:lvlJc w:val="left"/>
      <w:pPr>
        <w:ind w:left="6835" w:hanging="720"/>
      </w:pPr>
      <w:rPr>
        <w:rFonts w:hint="default"/>
        <w:lang w:val="en-US" w:eastAsia="en-US" w:bidi="ar-SA"/>
      </w:rPr>
    </w:lvl>
    <w:lvl w:ilvl="8" w:tplc="FFFFFFFF">
      <w:numFmt w:val="bullet"/>
      <w:lvlText w:val="•"/>
      <w:lvlJc w:val="left"/>
      <w:pPr>
        <w:ind w:left="7750" w:hanging="720"/>
      </w:pPr>
      <w:rPr>
        <w:rFonts w:hint="default"/>
        <w:lang w:val="en-US" w:eastAsia="en-US" w:bidi="ar-SA"/>
      </w:rPr>
    </w:lvl>
  </w:abstractNum>
  <w:abstractNum w:abstractNumId="8" w15:restartNumberingAfterBreak="0">
    <w:nsid w:val="5AED0F57"/>
    <w:multiLevelType w:val="hybridMultilevel"/>
    <w:tmpl w:val="5784DD18"/>
    <w:lvl w:ilvl="0" w:tplc="DA5A2D9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02406E"/>
    <w:multiLevelType w:val="hybridMultilevel"/>
    <w:tmpl w:val="8ABCD2E2"/>
    <w:lvl w:ilvl="0" w:tplc="D3785954">
      <w:start w:val="1"/>
      <w:numFmt w:val="upperLetter"/>
      <w:lvlText w:val="%1."/>
      <w:lvlJc w:val="left"/>
      <w:pPr>
        <w:ind w:left="820" w:hanging="720"/>
        <w:jc w:val="right"/>
      </w:pPr>
      <w:rPr>
        <w:rFonts w:asciiTheme="minorHAnsi" w:eastAsia="Segoe UI" w:hAnsiTheme="minorHAnsi" w:cstheme="minorHAnsi" w:hint="default"/>
        <w:b w:val="0"/>
        <w:bCs w:val="0"/>
        <w:i w:val="0"/>
        <w:iCs w:val="0"/>
        <w:spacing w:val="0"/>
        <w:w w:val="100"/>
        <w:sz w:val="22"/>
        <w:szCs w:val="22"/>
        <w:lang w:val="en-US" w:eastAsia="en-US" w:bidi="ar-SA"/>
      </w:rPr>
    </w:lvl>
    <w:lvl w:ilvl="1" w:tplc="C3C2744C">
      <w:start w:val="1"/>
      <w:numFmt w:val="decimal"/>
      <w:lvlText w:val="%2."/>
      <w:lvlJc w:val="left"/>
      <w:pPr>
        <w:ind w:left="1540" w:hanging="720"/>
        <w:jc w:val="left"/>
      </w:pPr>
      <w:rPr>
        <w:rFonts w:asciiTheme="minorHAnsi" w:eastAsia="Segoe UI" w:hAnsiTheme="minorHAnsi" w:cstheme="minorHAnsi" w:hint="default"/>
        <w:b w:val="0"/>
        <w:bCs w:val="0"/>
        <w:i w:val="0"/>
        <w:iCs w:val="0"/>
        <w:w w:val="100"/>
        <w:sz w:val="22"/>
        <w:szCs w:val="22"/>
        <w:lang w:val="en-US" w:eastAsia="en-US" w:bidi="ar-SA"/>
      </w:rPr>
    </w:lvl>
    <w:lvl w:ilvl="2" w:tplc="7C2E8F3E">
      <w:start w:val="1"/>
      <w:numFmt w:val="lowerLetter"/>
      <w:lvlText w:val="%3."/>
      <w:lvlJc w:val="left"/>
      <w:pPr>
        <w:ind w:left="2260" w:hanging="720"/>
        <w:jc w:val="left"/>
      </w:pPr>
      <w:rPr>
        <w:rFonts w:ascii="Segoe UI" w:eastAsia="Segoe UI" w:hAnsi="Segoe UI" w:cs="Segoe UI" w:hint="default"/>
        <w:b w:val="0"/>
        <w:bCs w:val="0"/>
        <w:i w:val="0"/>
        <w:iCs w:val="0"/>
        <w:w w:val="100"/>
        <w:sz w:val="24"/>
        <w:szCs w:val="24"/>
        <w:lang w:val="en-US" w:eastAsia="en-US" w:bidi="ar-SA"/>
      </w:rPr>
    </w:lvl>
    <w:lvl w:ilvl="3" w:tplc="A6A80DFE">
      <w:numFmt w:val="bullet"/>
      <w:lvlText w:val="•"/>
      <w:lvlJc w:val="left"/>
      <w:pPr>
        <w:ind w:left="3175" w:hanging="720"/>
      </w:pPr>
      <w:rPr>
        <w:rFonts w:hint="default"/>
        <w:lang w:val="en-US" w:eastAsia="en-US" w:bidi="ar-SA"/>
      </w:rPr>
    </w:lvl>
    <w:lvl w:ilvl="4" w:tplc="2B4C5138">
      <w:numFmt w:val="bullet"/>
      <w:lvlText w:val="•"/>
      <w:lvlJc w:val="left"/>
      <w:pPr>
        <w:ind w:left="4090" w:hanging="720"/>
      </w:pPr>
      <w:rPr>
        <w:rFonts w:hint="default"/>
        <w:lang w:val="en-US" w:eastAsia="en-US" w:bidi="ar-SA"/>
      </w:rPr>
    </w:lvl>
    <w:lvl w:ilvl="5" w:tplc="2F0427A0">
      <w:numFmt w:val="bullet"/>
      <w:lvlText w:val="•"/>
      <w:lvlJc w:val="left"/>
      <w:pPr>
        <w:ind w:left="5005" w:hanging="720"/>
      </w:pPr>
      <w:rPr>
        <w:rFonts w:hint="default"/>
        <w:lang w:val="en-US" w:eastAsia="en-US" w:bidi="ar-SA"/>
      </w:rPr>
    </w:lvl>
    <w:lvl w:ilvl="6" w:tplc="8C88DB62">
      <w:numFmt w:val="bullet"/>
      <w:lvlText w:val="•"/>
      <w:lvlJc w:val="left"/>
      <w:pPr>
        <w:ind w:left="5920" w:hanging="720"/>
      </w:pPr>
      <w:rPr>
        <w:rFonts w:hint="default"/>
        <w:lang w:val="en-US" w:eastAsia="en-US" w:bidi="ar-SA"/>
      </w:rPr>
    </w:lvl>
    <w:lvl w:ilvl="7" w:tplc="C2EC65A2">
      <w:numFmt w:val="bullet"/>
      <w:lvlText w:val="•"/>
      <w:lvlJc w:val="left"/>
      <w:pPr>
        <w:ind w:left="6835" w:hanging="720"/>
      </w:pPr>
      <w:rPr>
        <w:rFonts w:hint="default"/>
        <w:lang w:val="en-US" w:eastAsia="en-US" w:bidi="ar-SA"/>
      </w:rPr>
    </w:lvl>
    <w:lvl w:ilvl="8" w:tplc="8BC488B0">
      <w:numFmt w:val="bullet"/>
      <w:lvlText w:val="•"/>
      <w:lvlJc w:val="left"/>
      <w:pPr>
        <w:ind w:left="7750" w:hanging="720"/>
      </w:pPr>
      <w:rPr>
        <w:rFonts w:hint="default"/>
        <w:lang w:val="en-US" w:eastAsia="en-US" w:bidi="ar-SA"/>
      </w:rPr>
    </w:lvl>
  </w:abstractNum>
  <w:abstractNum w:abstractNumId="10" w15:restartNumberingAfterBreak="0">
    <w:nsid w:val="72207411"/>
    <w:multiLevelType w:val="hybridMultilevel"/>
    <w:tmpl w:val="CAB0796A"/>
    <w:lvl w:ilvl="0" w:tplc="FFFFFFFF">
      <w:start w:val="1"/>
      <w:numFmt w:val="upperLetter"/>
      <w:lvlText w:val="%1."/>
      <w:lvlJc w:val="left"/>
      <w:pPr>
        <w:ind w:left="820" w:hanging="720"/>
        <w:jc w:val="right"/>
      </w:pPr>
      <w:rPr>
        <w:rFonts w:asciiTheme="minorHAnsi" w:eastAsia="Segoe UI" w:hAnsiTheme="minorHAnsi" w:cstheme="minorHAnsi" w:hint="default"/>
        <w:b w:val="0"/>
        <w:bCs w:val="0"/>
        <w:i w:val="0"/>
        <w:iCs w:val="0"/>
        <w:spacing w:val="0"/>
        <w:w w:val="100"/>
        <w:sz w:val="22"/>
        <w:szCs w:val="22"/>
        <w:lang w:val="en-US" w:eastAsia="en-US" w:bidi="ar-SA"/>
      </w:rPr>
    </w:lvl>
    <w:lvl w:ilvl="1" w:tplc="FFFFFFFF">
      <w:start w:val="1"/>
      <w:numFmt w:val="decimal"/>
      <w:lvlText w:val="%2."/>
      <w:lvlJc w:val="left"/>
      <w:pPr>
        <w:ind w:left="1540" w:hanging="720"/>
        <w:jc w:val="left"/>
      </w:pPr>
      <w:rPr>
        <w:rFonts w:asciiTheme="minorHAnsi" w:eastAsia="Segoe UI" w:hAnsiTheme="minorHAnsi" w:cstheme="minorHAnsi" w:hint="default"/>
        <w:b w:val="0"/>
        <w:bCs w:val="0"/>
        <w:i w:val="0"/>
        <w:iCs w:val="0"/>
        <w:w w:val="100"/>
        <w:sz w:val="22"/>
        <w:szCs w:val="22"/>
        <w:lang w:val="en-US" w:eastAsia="en-US" w:bidi="ar-SA"/>
      </w:rPr>
    </w:lvl>
    <w:lvl w:ilvl="2" w:tplc="FFFFFFFF">
      <w:start w:val="1"/>
      <w:numFmt w:val="lowerLetter"/>
      <w:lvlText w:val="%3."/>
      <w:lvlJc w:val="left"/>
      <w:pPr>
        <w:ind w:left="2260" w:hanging="720"/>
        <w:jc w:val="left"/>
      </w:pPr>
      <w:rPr>
        <w:rFonts w:asciiTheme="minorHAnsi" w:eastAsia="Segoe UI" w:hAnsiTheme="minorHAnsi" w:cstheme="minorHAnsi" w:hint="default"/>
        <w:b w:val="0"/>
        <w:bCs w:val="0"/>
        <w:i w:val="0"/>
        <w:iCs w:val="0"/>
        <w:w w:val="100"/>
        <w:sz w:val="22"/>
        <w:szCs w:val="22"/>
        <w:lang w:val="en-US" w:eastAsia="en-US" w:bidi="ar-SA"/>
      </w:rPr>
    </w:lvl>
    <w:lvl w:ilvl="3" w:tplc="FFFFFFFF">
      <w:numFmt w:val="bullet"/>
      <w:lvlText w:val="•"/>
      <w:lvlJc w:val="left"/>
      <w:pPr>
        <w:ind w:left="3175" w:hanging="720"/>
      </w:pPr>
      <w:rPr>
        <w:rFonts w:hint="default"/>
        <w:lang w:val="en-US" w:eastAsia="en-US" w:bidi="ar-SA"/>
      </w:rPr>
    </w:lvl>
    <w:lvl w:ilvl="4" w:tplc="FFFFFFFF">
      <w:numFmt w:val="bullet"/>
      <w:lvlText w:val="•"/>
      <w:lvlJc w:val="left"/>
      <w:pPr>
        <w:ind w:left="4090" w:hanging="720"/>
      </w:pPr>
      <w:rPr>
        <w:rFonts w:hint="default"/>
        <w:lang w:val="en-US" w:eastAsia="en-US" w:bidi="ar-SA"/>
      </w:rPr>
    </w:lvl>
    <w:lvl w:ilvl="5" w:tplc="FFFFFFFF">
      <w:numFmt w:val="bullet"/>
      <w:lvlText w:val="•"/>
      <w:lvlJc w:val="left"/>
      <w:pPr>
        <w:ind w:left="5005" w:hanging="720"/>
      </w:pPr>
      <w:rPr>
        <w:rFonts w:hint="default"/>
        <w:lang w:val="en-US" w:eastAsia="en-US" w:bidi="ar-SA"/>
      </w:rPr>
    </w:lvl>
    <w:lvl w:ilvl="6" w:tplc="FFFFFFFF">
      <w:numFmt w:val="bullet"/>
      <w:lvlText w:val="•"/>
      <w:lvlJc w:val="left"/>
      <w:pPr>
        <w:ind w:left="5920" w:hanging="720"/>
      </w:pPr>
      <w:rPr>
        <w:rFonts w:hint="default"/>
        <w:lang w:val="en-US" w:eastAsia="en-US" w:bidi="ar-SA"/>
      </w:rPr>
    </w:lvl>
    <w:lvl w:ilvl="7" w:tplc="FFFFFFFF">
      <w:numFmt w:val="bullet"/>
      <w:lvlText w:val="•"/>
      <w:lvlJc w:val="left"/>
      <w:pPr>
        <w:ind w:left="6835" w:hanging="720"/>
      </w:pPr>
      <w:rPr>
        <w:rFonts w:hint="default"/>
        <w:lang w:val="en-US" w:eastAsia="en-US" w:bidi="ar-SA"/>
      </w:rPr>
    </w:lvl>
    <w:lvl w:ilvl="8" w:tplc="FFFFFFFF">
      <w:numFmt w:val="bullet"/>
      <w:lvlText w:val="•"/>
      <w:lvlJc w:val="left"/>
      <w:pPr>
        <w:ind w:left="7750" w:hanging="720"/>
      </w:pPr>
      <w:rPr>
        <w:rFonts w:hint="default"/>
        <w:lang w:val="en-US" w:eastAsia="en-US" w:bidi="ar-SA"/>
      </w:rPr>
    </w:lvl>
  </w:abstractNum>
  <w:abstractNum w:abstractNumId="11" w15:restartNumberingAfterBreak="0">
    <w:nsid w:val="7F7D3ACA"/>
    <w:multiLevelType w:val="hybridMultilevel"/>
    <w:tmpl w:val="2B2A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211268">
    <w:abstractNumId w:val="9"/>
  </w:num>
  <w:num w:numId="2" w16cid:durableId="1044528370">
    <w:abstractNumId w:val="3"/>
  </w:num>
  <w:num w:numId="3" w16cid:durableId="260842740">
    <w:abstractNumId w:val="11"/>
  </w:num>
  <w:num w:numId="4" w16cid:durableId="2133013700">
    <w:abstractNumId w:val="6"/>
  </w:num>
  <w:num w:numId="5" w16cid:durableId="544952179">
    <w:abstractNumId w:val="8"/>
  </w:num>
  <w:num w:numId="6" w16cid:durableId="141894504">
    <w:abstractNumId w:val="4"/>
  </w:num>
  <w:num w:numId="7" w16cid:durableId="2112167621">
    <w:abstractNumId w:val="0"/>
  </w:num>
  <w:num w:numId="8" w16cid:durableId="96219570">
    <w:abstractNumId w:val="1"/>
  </w:num>
  <w:num w:numId="9" w16cid:durableId="1949000417">
    <w:abstractNumId w:val="10"/>
  </w:num>
  <w:num w:numId="10" w16cid:durableId="1827436127">
    <w:abstractNumId w:val="7"/>
  </w:num>
  <w:num w:numId="11" w16cid:durableId="851724559">
    <w:abstractNumId w:val="5"/>
  </w:num>
  <w:num w:numId="12" w16cid:durableId="400444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60"/>
    <w:rsid w:val="00034BA4"/>
    <w:rsid w:val="00036AFB"/>
    <w:rsid w:val="000536FD"/>
    <w:rsid w:val="00063889"/>
    <w:rsid w:val="0006685C"/>
    <w:rsid w:val="00067786"/>
    <w:rsid w:val="0009742B"/>
    <w:rsid w:val="000B7238"/>
    <w:rsid w:val="00151F02"/>
    <w:rsid w:val="001568AD"/>
    <w:rsid w:val="00176104"/>
    <w:rsid w:val="00183BD8"/>
    <w:rsid w:val="00195404"/>
    <w:rsid w:val="001C1977"/>
    <w:rsid w:val="001C1B1F"/>
    <w:rsid w:val="001D51E4"/>
    <w:rsid w:val="00224FF5"/>
    <w:rsid w:val="00246515"/>
    <w:rsid w:val="00246AD5"/>
    <w:rsid w:val="002657B9"/>
    <w:rsid w:val="00266C6E"/>
    <w:rsid w:val="00285D59"/>
    <w:rsid w:val="002907FF"/>
    <w:rsid w:val="002912F8"/>
    <w:rsid w:val="002A53F1"/>
    <w:rsid w:val="002C1B20"/>
    <w:rsid w:val="002F3B28"/>
    <w:rsid w:val="003049D8"/>
    <w:rsid w:val="00330DE0"/>
    <w:rsid w:val="00345C8D"/>
    <w:rsid w:val="00374EF8"/>
    <w:rsid w:val="00392E57"/>
    <w:rsid w:val="003A08EF"/>
    <w:rsid w:val="003A5CA3"/>
    <w:rsid w:val="003A748F"/>
    <w:rsid w:val="003A7F71"/>
    <w:rsid w:val="003C11A6"/>
    <w:rsid w:val="003E7CCC"/>
    <w:rsid w:val="003F3803"/>
    <w:rsid w:val="00412CDC"/>
    <w:rsid w:val="00427741"/>
    <w:rsid w:val="00437763"/>
    <w:rsid w:val="00445537"/>
    <w:rsid w:val="00463F3A"/>
    <w:rsid w:val="00475690"/>
    <w:rsid w:val="004820D8"/>
    <w:rsid w:val="004F3AB6"/>
    <w:rsid w:val="004F4D17"/>
    <w:rsid w:val="0050785D"/>
    <w:rsid w:val="00522AEE"/>
    <w:rsid w:val="005474C9"/>
    <w:rsid w:val="00551060"/>
    <w:rsid w:val="005752AA"/>
    <w:rsid w:val="00581DCE"/>
    <w:rsid w:val="00587BD2"/>
    <w:rsid w:val="005D1E1E"/>
    <w:rsid w:val="005E1088"/>
    <w:rsid w:val="005F3881"/>
    <w:rsid w:val="005F6C35"/>
    <w:rsid w:val="00664EB6"/>
    <w:rsid w:val="006A7651"/>
    <w:rsid w:val="006C0802"/>
    <w:rsid w:val="006C39AE"/>
    <w:rsid w:val="006E37C2"/>
    <w:rsid w:val="006E3F89"/>
    <w:rsid w:val="006E73E1"/>
    <w:rsid w:val="006F0A20"/>
    <w:rsid w:val="00727E0F"/>
    <w:rsid w:val="007346D7"/>
    <w:rsid w:val="00766C3F"/>
    <w:rsid w:val="007746F0"/>
    <w:rsid w:val="0078124A"/>
    <w:rsid w:val="007A7093"/>
    <w:rsid w:val="007B2E5C"/>
    <w:rsid w:val="007B57F3"/>
    <w:rsid w:val="007C3102"/>
    <w:rsid w:val="007D55F3"/>
    <w:rsid w:val="007E2B1E"/>
    <w:rsid w:val="00801DD5"/>
    <w:rsid w:val="00817EAF"/>
    <w:rsid w:val="00853EBB"/>
    <w:rsid w:val="008E2361"/>
    <w:rsid w:val="008E5492"/>
    <w:rsid w:val="008F6146"/>
    <w:rsid w:val="0090246A"/>
    <w:rsid w:val="00940D70"/>
    <w:rsid w:val="009748AA"/>
    <w:rsid w:val="009A002E"/>
    <w:rsid w:val="009A0462"/>
    <w:rsid w:val="009E01CE"/>
    <w:rsid w:val="00A14C8B"/>
    <w:rsid w:val="00A159C8"/>
    <w:rsid w:val="00A232AD"/>
    <w:rsid w:val="00A35EA6"/>
    <w:rsid w:val="00A431ED"/>
    <w:rsid w:val="00A530FB"/>
    <w:rsid w:val="00A56602"/>
    <w:rsid w:val="00A66C2B"/>
    <w:rsid w:val="00AA4353"/>
    <w:rsid w:val="00AA7906"/>
    <w:rsid w:val="00AB7DC0"/>
    <w:rsid w:val="00AE5CA4"/>
    <w:rsid w:val="00AF269D"/>
    <w:rsid w:val="00AF63CB"/>
    <w:rsid w:val="00B02BE7"/>
    <w:rsid w:val="00B13D06"/>
    <w:rsid w:val="00B23895"/>
    <w:rsid w:val="00B265FE"/>
    <w:rsid w:val="00B428B3"/>
    <w:rsid w:val="00B57605"/>
    <w:rsid w:val="00B66936"/>
    <w:rsid w:val="00B91312"/>
    <w:rsid w:val="00BA5FFF"/>
    <w:rsid w:val="00BE5755"/>
    <w:rsid w:val="00BE723B"/>
    <w:rsid w:val="00BF6361"/>
    <w:rsid w:val="00C03EB8"/>
    <w:rsid w:val="00C1767C"/>
    <w:rsid w:val="00C22160"/>
    <w:rsid w:val="00C430E7"/>
    <w:rsid w:val="00C51CCC"/>
    <w:rsid w:val="00C5338D"/>
    <w:rsid w:val="00C90906"/>
    <w:rsid w:val="00CA6D37"/>
    <w:rsid w:val="00D051DA"/>
    <w:rsid w:val="00D12F91"/>
    <w:rsid w:val="00D45220"/>
    <w:rsid w:val="00D5089E"/>
    <w:rsid w:val="00D6164F"/>
    <w:rsid w:val="00D616C1"/>
    <w:rsid w:val="00D73405"/>
    <w:rsid w:val="00D74467"/>
    <w:rsid w:val="00DD3219"/>
    <w:rsid w:val="00E05F68"/>
    <w:rsid w:val="00E26AEA"/>
    <w:rsid w:val="00E66B3A"/>
    <w:rsid w:val="00E71BD8"/>
    <w:rsid w:val="00E728FC"/>
    <w:rsid w:val="00EC7734"/>
    <w:rsid w:val="00EF174B"/>
    <w:rsid w:val="00EF2BE7"/>
    <w:rsid w:val="00EF5CA1"/>
    <w:rsid w:val="00EF5F6B"/>
    <w:rsid w:val="00F20BF6"/>
    <w:rsid w:val="00F23881"/>
    <w:rsid w:val="00F415BE"/>
    <w:rsid w:val="00F448C6"/>
    <w:rsid w:val="00F46534"/>
    <w:rsid w:val="00F67B80"/>
    <w:rsid w:val="00F85A6A"/>
    <w:rsid w:val="00FA1A48"/>
    <w:rsid w:val="00FC6E8B"/>
    <w:rsid w:val="00FC78AF"/>
    <w:rsid w:val="00FD0A7A"/>
    <w:rsid w:val="00FD4B88"/>
    <w:rsid w:val="00FF12EA"/>
    <w:rsid w:val="00FF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6F6AB"/>
  <w15:docId w15:val="{EE3DD66A-EEFC-4FA0-A8A3-60ED8967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20"/>
      <w:ind w:left="20" w:firstLine="1755"/>
      <w:outlineLvl w:val="0"/>
    </w:pPr>
    <w:rPr>
      <w:b/>
      <w:bCs/>
      <w:sz w:val="24"/>
      <w:szCs w:val="24"/>
    </w:rPr>
  </w:style>
  <w:style w:type="paragraph" w:styleId="Heading3">
    <w:name w:val="heading 3"/>
    <w:basedOn w:val="Normal"/>
    <w:next w:val="Normal"/>
    <w:link w:val="Heading3Char"/>
    <w:uiPriority w:val="9"/>
    <w:unhideWhenUsed/>
    <w:qFormat/>
    <w:rsid w:val="007C3102"/>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540" w:hanging="720"/>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7A7093"/>
    <w:pPr>
      <w:tabs>
        <w:tab w:val="center" w:pos="4680"/>
        <w:tab w:val="right" w:pos="9360"/>
      </w:tabs>
    </w:pPr>
  </w:style>
  <w:style w:type="character" w:customStyle="1" w:styleId="HeaderChar">
    <w:name w:val="Header Char"/>
    <w:basedOn w:val="DefaultParagraphFont"/>
    <w:link w:val="Header"/>
    <w:uiPriority w:val="99"/>
    <w:rsid w:val="007A7093"/>
    <w:rPr>
      <w:rFonts w:ascii="Segoe UI" w:eastAsia="Segoe UI" w:hAnsi="Segoe UI" w:cs="Segoe UI"/>
    </w:rPr>
  </w:style>
  <w:style w:type="paragraph" w:styleId="Footer">
    <w:name w:val="footer"/>
    <w:basedOn w:val="Normal"/>
    <w:link w:val="FooterChar"/>
    <w:uiPriority w:val="99"/>
    <w:unhideWhenUsed/>
    <w:rsid w:val="007A7093"/>
    <w:pPr>
      <w:tabs>
        <w:tab w:val="center" w:pos="4680"/>
        <w:tab w:val="right" w:pos="9360"/>
      </w:tabs>
    </w:pPr>
  </w:style>
  <w:style w:type="character" w:customStyle="1" w:styleId="FooterChar">
    <w:name w:val="Footer Char"/>
    <w:basedOn w:val="DefaultParagraphFont"/>
    <w:link w:val="Footer"/>
    <w:uiPriority w:val="99"/>
    <w:rsid w:val="007A7093"/>
    <w:rPr>
      <w:rFonts w:ascii="Segoe UI" w:eastAsia="Segoe UI" w:hAnsi="Segoe UI" w:cs="Segoe UI"/>
    </w:rPr>
  </w:style>
  <w:style w:type="paragraph" w:customStyle="1" w:styleId="comp">
    <w:name w:val="comp"/>
    <w:basedOn w:val="Normal"/>
    <w:rsid w:val="00B913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C3102"/>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AA435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AA4353"/>
    <w:pPr>
      <w:spacing w:after="100"/>
      <w:ind w:left="220"/>
    </w:pPr>
  </w:style>
  <w:style w:type="paragraph" w:styleId="TOC3">
    <w:name w:val="toc 3"/>
    <w:basedOn w:val="Normal"/>
    <w:next w:val="Normal"/>
    <w:autoRedefine/>
    <w:uiPriority w:val="39"/>
    <w:unhideWhenUsed/>
    <w:rsid w:val="00AA4353"/>
    <w:pPr>
      <w:spacing w:after="100"/>
      <w:ind w:left="440"/>
    </w:pPr>
  </w:style>
  <w:style w:type="character" w:styleId="Hyperlink">
    <w:name w:val="Hyperlink"/>
    <w:basedOn w:val="DefaultParagraphFont"/>
    <w:uiPriority w:val="99"/>
    <w:unhideWhenUsed/>
    <w:rsid w:val="00AA4353"/>
    <w:rPr>
      <w:color w:val="0000FF" w:themeColor="hyperlink"/>
      <w:u w:val="single"/>
    </w:rPr>
  </w:style>
  <w:style w:type="paragraph" w:styleId="Revision">
    <w:name w:val="Revision"/>
    <w:hidden/>
    <w:uiPriority w:val="99"/>
    <w:semiHidden/>
    <w:rsid w:val="00522AEE"/>
    <w:pPr>
      <w:widowControl/>
      <w:autoSpaceDE/>
      <w:autoSpaceDN/>
    </w:pPr>
    <w:rPr>
      <w:rFonts w:ascii="Segoe UI" w:eastAsia="Segoe UI" w:hAnsi="Segoe UI" w:cs="Segoe UI"/>
    </w:rPr>
  </w:style>
  <w:style w:type="character" w:styleId="CommentReference">
    <w:name w:val="annotation reference"/>
    <w:basedOn w:val="DefaultParagraphFont"/>
    <w:uiPriority w:val="99"/>
    <w:semiHidden/>
    <w:unhideWhenUsed/>
    <w:rsid w:val="00C51CCC"/>
    <w:rPr>
      <w:sz w:val="16"/>
      <w:szCs w:val="16"/>
    </w:rPr>
  </w:style>
  <w:style w:type="paragraph" w:styleId="CommentText">
    <w:name w:val="annotation text"/>
    <w:basedOn w:val="Normal"/>
    <w:link w:val="CommentTextChar"/>
    <w:uiPriority w:val="99"/>
    <w:unhideWhenUsed/>
    <w:rsid w:val="00C51CCC"/>
    <w:rPr>
      <w:sz w:val="20"/>
      <w:szCs w:val="20"/>
    </w:rPr>
  </w:style>
  <w:style w:type="character" w:customStyle="1" w:styleId="CommentTextChar">
    <w:name w:val="Comment Text Char"/>
    <w:basedOn w:val="DefaultParagraphFont"/>
    <w:link w:val="CommentText"/>
    <w:uiPriority w:val="99"/>
    <w:rsid w:val="00C51CCC"/>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C51CCC"/>
    <w:rPr>
      <w:b/>
      <w:bCs/>
    </w:rPr>
  </w:style>
  <w:style w:type="character" w:customStyle="1" w:styleId="CommentSubjectChar">
    <w:name w:val="Comment Subject Char"/>
    <w:basedOn w:val="CommentTextChar"/>
    <w:link w:val="CommentSubject"/>
    <w:uiPriority w:val="99"/>
    <w:semiHidden/>
    <w:rsid w:val="00C51CCC"/>
    <w:rPr>
      <w:rFonts w:ascii="Segoe UI" w:eastAsia="Segoe UI" w:hAnsi="Segoe UI" w:cs="Segoe UI"/>
      <w:b/>
      <w:bCs/>
      <w:sz w:val="20"/>
      <w:szCs w:val="20"/>
    </w:rPr>
  </w:style>
  <w:style w:type="character" w:styleId="UnresolvedMention">
    <w:name w:val="Unresolved Mention"/>
    <w:basedOn w:val="DefaultParagraphFont"/>
    <w:uiPriority w:val="99"/>
    <w:semiHidden/>
    <w:unhideWhenUsed/>
    <w:rsid w:val="0006685C"/>
    <w:rPr>
      <w:color w:val="605E5C"/>
      <w:shd w:val="clear" w:color="auto" w:fill="E1DFDD"/>
    </w:rPr>
  </w:style>
  <w:style w:type="character" w:styleId="FollowedHyperlink">
    <w:name w:val="FollowedHyperlink"/>
    <w:basedOn w:val="DefaultParagraphFont"/>
    <w:uiPriority w:val="99"/>
    <w:semiHidden/>
    <w:unhideWhenUsed/>
    <w:rsid w:val="00EF2B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89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btrails.org/wp-content/uploads/2026/02/BBT-HHSC-Charity-Care-Provider-Roster-2.24.2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9D83-97C9-4210-A910-8E404613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1969</Words>
  <Characters>11701</Characters>
  <Application>Microsoft Office Word</Application>
  <DocSecurity>0</DocSecurity>
  <Lines>205</Lines>
  <Paragraphs>104</Paragraphs>
  <ScaleCrop>false</ScaleCrop>
  <HeadingPairs>
    <vt:vector size="2" baseType="variant">
      <vt:variant>
        <vt:lpstr>Title</vt:lpstr>
      </vt:variant>
      <vt:variant>
        <vt:i4>1</vt:i4>
      </vt:variant>
    </vt:vector>
  </HeadingPairs>
  <TitlesOfParts>
    <vt:vector size="1" baseType="lpstr">
      <vt:lpstr>Permian Basin Community Centers</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Permian Basin Community Centers</dc:title>
  <dc:creator>PERMIAN BASIN COMMUNITY CTRS</dc:creator>
  <cp:lastModifiedBy>Sanders, Jessica</cp:lastModifiedBy>
  <cp:revision>7</cp:revision>
  <cp:lastPrinted>2022-06-30T11:28:00Z</cp:lastPrinted>
  <dcterms:created xsi:type="dcterms:W3CDTF">2023-12-08T18:55:00Z</dcterms:created>
  <dcterms:modified xsi:type="dcterms:W3CDTF">2026-05-08T14:23:00Z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2022-06-16T00:00:00Z</vt:filetime>
  </property>
  <property fmtid="{D5CDD505-2E9C-101B-9397-08002B2CF9AE}" pid="3" name="Creator">
    <vt:lpwstr>Microsoft® Word for Microsoft 365</vt:lpwstr>
  </property>
  <property fmtid="{D5CDD505-2E9C-101B-9397-08002B2CF9AE}" pid="4" name="LastSaved">
    <vt:filetime>2022-06-28T00:00:00Z</vt:filetime>
  </property>
  <property fmtid="{D5CDD505-2E9C-101B-9397-08002B2CF9AE}" pid="5" name="GrammarlyDocumentId">
    <vt:lpwstr>fabb5ada5aa96c337c310b10f35ae7c2ad36aafb89efcc9f6952058e752a9792</vt:lpwstr>
  </property>
</Properties>
</file>